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EC169" w14:textId="48C01E96" w:rsidR="00736A63" w:rsidRPr="008C39F7" w:rsidRDefault="00736A63" w:rsidP="00736A6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CA21ED">
        <w:rPr>
          <w:rFonts w:ascii="Arial" w:eastAsia="SimSun" w:hAnsi="Arial" w:cs="Times New Roman"/>
          <w:b/>
          <w:bCs/>
          <w:sz w:val="24"/>
          <w:szCs w:val="20"/>
        </w:rPr>
        <w:t>R4-232073</w:t>
      </w:r>
      <w:r>
        <w:rPr>
          <w:rFonts w:ascii="Arial" w:eastAsia="SimSun" w:hAnsi="Arial" w:cs="Times New Roman"/>
          <w:b/>
          <w:bCs/>
          <w:sz w:val="24"/>
          <w:szCs w:val="20"/>
        </w:rPr>
        <w:t>9</w:t>
      </w:r>
    </w:p>
    <w:p w14:paraId="738EB2C2" w14:textId="77777777" w:rsidR="00736A63" w:rsidRPr="002B69F3" w:rsidRDefault="00736A63" w:rsidP="00736A6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3384C549" w14:textId="446C9F9B" w:rsidR="00CB78E9" w:rsidRPr="002B69F3" w:rsidRDefault="00CB78E9" w:rsidP="00736A6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11358557" w14:textId="4B193380"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D491666"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7ED1EF3" w14:textId="068EAD5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31914">
        <w:rPr>
          <w:rFonts w:ascii="Arial" w:eastAsia="Calibri" w:hAnsi="Arial" w:cs="Arial"/>
          <w:b/>
          <w:bCs/>
          <w:sz w:val="24"/>
        </w:rPr>
        <w:t>Service continuity and mobility enhancements between TN and NTN</w:t>
      </w:r>
    </w:p>
    <w:p w14:paraId="2EC9063A" w14:textId="7476028C" w:rsidR="00841BCD" w:rsidRPr="00031914" w:rsidRDefault="00841BCD" w:rsidP="00841BCD">
      <w:pPr>
        <w:tabs>
          <w:tab w:val="left" w:pos="1985"/>
        </w:tabs>
        <w:spacing w:after="120" w:line="240" w:lineRule="auto"/>
        <w:rPr>
          <w:rFonts w:ascii="Arial" w:eastAsia="MS Mincho" w:hAnsi="Arial" w:cs="Arial"/>
          <w:b/>
          <w:bCs/>
          <w:sz w:val="24"/>
          <w:szCs w:val="20"/>
          <w:lang w:val="pt-BR"/>
        </w:rPr>
      </w:pPr>
      <w:r w:rsidRPr="00031914">
        <w:rPr>
          <w:rFonts w:ascii="Arial" w:eastAsia="MS Mincho" w:hAnsi="Arial" w:cs="Arial"/>
          <w:b/>
          <w:bCs/>
          <w:sz w:val="24"/>
          <w:szCs w:val="20"/>
          <w:lang w:val="pt-BR"/>
        </w:rPr>
        <w:t>Agenda item:</w:t>
      </w:r>
      <w:r w:rsidRPr="00031914">
        <w:rPr>
          <w:rFonts w:ascii="Arial" w:eastAsia="MS Mincho" w:hAnsi="Arial" w:cs="Arial"/>
          <w:b/>
          <w:bCs/>
          <w:sz w:val="24"/>
          <w:szCs w:val="20"/>
          <w:lang w:val="pt-BR"/>
        </w:rPr>
        <w:tab/>
      </w:r>
      <w:r w:rsidR="00736A63">
        <w:rPr>
          <w:rFonts w:ascii="Arial" w:eastAsia="MS Mincho" w:hAnsi="Arial" w:cs="Arial"/>
          <w:b/>
          <w:bCs/>
          <w:sz w:val="24"/>
          <w:szCs w:val="20"/>
          <w:lang w:val="pt-BR"/>
        </w:rPr>
        <w:t>8</w:t>
      </w:r>
      <w:r w:rsidR="00031914">
        <w:rPr>
          <w:rFonts w:ascii="Arial" w:eastAsia="MS Mincho" w:hAnsi="Arial" w:cs="Arial"/>
          <w:b/>
          <w:bCs/>
          <w:sz w:val="24"/>
          <w:szCs w:val="20"/>
          <w:lang w:val="pt-BR"/>
        </w:rPr>
        <w:t>.26.</w:t>
      </w:r>
      <w:r w:rsidR="00212A33">
        <w:rPr>
          <w:rFonts w:ascii="Arial" w:eastAsia="MS Mincho" w:hAnsi="Arial" w:cs="Arial"/>
          <w:b/>
          <w:bCs/>
          <w:sz w:val="24"/>
          <w:szCs w:val="20"/>
          <w:lang w:val="pt-BR"/>
        </w:rPr>
        <w:t>6</w:t>
      </w:r>
      <w:r w:rsidR="00031914">
        <w:rPr>
          <w:rFonts w:ascii="Arial" w:eastAsia="MS Mincho" w:hAnsi="Arial" w:cs="Arial"/>
          <w:b/>
          <w:bCs/>
          <w:sz w:val="24"/>
          <w:szCs w:val="20"/>
          <w:lang w:val="pt-BR"/>
        </w:rPr>
        <w:t>.3</w:t>
      </w:r>
    </w:p>
    <w:p w14:paraId="7100B084"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280A2CD" w14:textId="77777777" w:rsidR="00E323E9" w:rsidRPr="008C39F7" w:rsidRDefault="00E323E9" w:rsidP="00841BCD">
      <w:pPr>
        <w:tabs>
          <w:tab w:val="left" w:pos="1985"/>
        </w:tabs>
        <w:rPr>
          <w:rFonts w:ascii="Arial" w:eastAsia="Calibri" w:hAnsi="Arial" w:cs="Arial"/>
          <w:b/>
          <w:bCs/>
          <w:sz w:val="24"/>
        </w:rPr>
      </w:pPr>
    </w:p>
    <w:p w14:paraId="5BF26D36"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C1F9E61" w14:textId="58760445" w:rsidR="00E323E9" w:rsidRPr="008C39F7" w:rsidRDefault="00031914" w:rsidP="005C23A4">
      <w:r w:rsidRPr="00031914">
        <w:t xml:space="preserve">The NTN WI, as presented in [1], includes </w:t>
      </w:r>
      <w:r>
        <w:t>objectives for the NTN enhancements in Rel-18, including improvements on service continuity and mobility enhancements between TN and NTN.:</w:t>
      </w:r>
    </w:p>
    <w:p w14:paraId="340B9BAC"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6C55EE1D" w14:textId="77777777" w:rsidTr="000A62C5">
        <w:trPr>
          <w:jc w:val="center"/>
        </w:trPr>
        <w:tc>
          <w:tcPr>
            <w:tcW w:w="9000" w:type="dxa"/>
          </w:tcPr>
          <w:p w14:paraId="15093318" w14:textId="77777777" w:rsidR="00031914" w:rsidRDefault="00031914" w:rsidP="00031914">
            <w:pPr>
              <w:rPr>
                <w:bCs/>
              </w:rPr>
            </w:pPr>
            <w:r>
              <w:rPr>
                <w:bCs/>
              </w:rPr>
              <w:t>4.1.4</w:t>
            </w:r>
            <w:r>
              <w:rPr>
                <w:bCs/>
              </w:rPr>
              <w:tab/>
              <w:t>NTN-TN and NTN-NTN mobility and service continuity enhancements</w:t>
            </w:r>
          </w:p>
          <w:p w14:paraId="1CF9EE2C" w14:textId="77777777" w:rsidR="00031914" w:rsidRDefault="00031914" w:rsidP="00031914">
            <w:pPr>
              <w:rPr>
                <w:bCs/>
              </w:rPr>
            </w:pPr>
          </w:p>
          <w:p w14:paraId="3B32C847" w14:textId="77777777" w:rsidR="00031914" w:rsidRDefault="00031914" w:rsidP="00031914">
            <w:pPr>
              <w:rPr>
                <w:bCs/>
              </w:rPr>
            </w:pPr>
            <w:r>
              <w:rPr>
                <w:bCs/>
              </w:rPr>
              <w:t>This work considers existing methods from NR TN as well as outcome of Rel-17 NR NTN WI outcome as baseline for NTN-TN mobility.</w:t>
            </w:r>
          </w:p>
          <w:p w14:paraId="263A31C6" w14:textId="77777777" w:rsidR="00031914" w:rsidRDefault="00031914" w:rsidP="00031914">
            <w:pPr>
              <w:rPr>
                <w:bCs/>
              </w:rPr>
            </w:pPr>
          </w:p>
          <w:p w14:paraId="21943493" w14:textId="77777777" w:rsidR="00031914" w:rsidRPr="00031914" w:rsidRDefault="00031914" w:rsidP="00031914">
            <w:pPr>
              <w:numPr>
                <w:ilvl w:val="0"/>
                <w:numId w:val="27"/>
              </w:numPr>
              <w:spacing w:line="256" w:lineRule="auto"/>
              <w:rPr>
                <w:bCs/>
                <w:highlight w:val="cyan"/>
              </w:rPr>
            </w:pPr>
            <w:r w:rsidRPr="00031914">
              <w:rPr>
                <w:bCs/>
                <w:highlight w:val="cyan"/>
              </w:rPr>
              <w:t>Specify NTN-TN and NTN-NTN measurement/mobility and service continuity enhancements [RAN2,RAN3,RAN4]</w:t>
            </w:r>
          </w:p>
          <w:p w14:paraId="4DB1B55B" w14:textId="77777777" w:rsidR="00031914" w:rsidRPr="00031914" w:rsidRDefault="00031914" w:rsidP="00031914">
            <w:pPr>
              <w:numPr>
                <w:ilvl w:val="1"/>
                <w:numId w:val="27"/>
              </w:numPr>
              <w:spacing w:line="256" w:lineRule="auto"/>
              <w:rPr>
                <w:bCs/>
                <w:highlight w:val="cyan"/>
              </w:rPr>
            </w:pPr>
            <w:r w:rsidRPr="00031914">
              <w:rPr>
                <w:bCs/>
                <w:highlight w:val="cyan"/>
              </w:rPr>
              <w:t>For NTN-NTN mobility, specify cell reselection enhancements for earth moving cell, the timing based and location-based cell reselection for quasi-earth fixed cell in Rel-17 can be considered as the starting point. [RAN2, RAN3, RAN4]</w:t>
            </w:r>
          </w:p>
          <w:p w14:paraId="3587489D" w14:textId="77777777" w:rsidR="00031914" w:rsidRDefault="00031914" w:rsidP="00031914">
            <w:pPr>
              <w:numPr>
                <w:ilvl w:val="1"/>
                <w:numId w:val="27"/>
              </w:numPr>
              <w:spacing w:line="256" w:lineRule="auto"/>
              <w:rPr>
                <w:bCs/>
              </w:rPr>
            </w:pPr>
            <w:r>
              <w:rPr>
                <w:bCs/>
              </w:rPr>
              <w:t xml:space="preserve">Specify NTN-NTN handover enhancement for RRC_CONNECTED UEs in the quasi-earth-fixed cell and earth-moving cell to reduce the </w:t>
            </w:r>
            <w:proofErr w:type="spellStart"/>
            <w:r>
              <w:rPr>
                <w:bCs/>
              </w:rPr>
              <w:t>signalling</w:t>
            </w:r>
            <w:proofErr w:type="spellEnd"/>
            <w:r>
              <w:rPr>
                <w:bCs/>
              </w:rPr>
              <w:t xml:space="preserve"> overhead. [RAN2, RAN3]</w:t>
            </w:r>
          </w:p>
          <w:p w14:paraId="21F97FBC" w14:textId="77777777" w:rsidR="00031914" w:rsidRPr="00031914" w:rsidRDefault="00031914" w:rsidP="00031914">
            <w:pPr>
              <w:numPr>
                <w:ilvl w:val="1"/>
                <w:numId w:val="27"/>
              </w:numPr>
              <w:spacing w:line="256" w:lineRule="auto"/>
              <w:rPr>
                <w:bCs/>
                <w:highlight w:val="cyan"/>
              </w:rPr>
            </w:pPr>
            <w:r w:rsidRPr="00031914">
              <w:rPr>
                <w:bCs/>
                <w:highlight w:val="cyan"/>
              </w:rPr>
              <w:t>Specify cell reselection enhancements for RRC_IDLE/INACTIVE UEs to reduce UE power consumption (NTN-TN mobility is prioritized). [RAN2, RAN3, RAN4]</w:t>
            </w:r>
          </w:p>
          <w:p w14:paraId="7BA61AD2" w14:textId="77777777" w:rsidR="00031914" w:rsidRDefault="00031914" w:rsidP="00031914">
            <w:pPr>
              <w:numPr>
                <w:ilvl w:val="1"/>
                <w:numId w:val="27"/>
              </w:numPr>
              <w:spacing w:line="256" w:lineRule="auto"/>
              <w:rPr>
                <w:bCs/>
              </w:rPr>
            </w:pPr>
            <w:r>
              <w:rPr>
                <w:bCs/>
              </w:rPr>
              <w:t xml:space="preserve">Study and, if needed, specify enhancement to </w:t>
            </w:r>
            <w:proofErr w:type="spellStart"/>
            <w:r>
              <w:rPr>
                <w:bCs/>
              </w:rPr>
              <w:t>Xn</w:t>
            </w:r>
            <w:proofErr w:type="spellEnd"/>
            <w:r>
              <w:rPr>
                <w:bCs/>
              </w:rPr>
              <w:t xml:space="preserve">[/NG] </w:t>
            </w:r>
            <w:proofErr w:type="spellStart"/>
            <w:r>
              <w:rPr>
                <w:bCs/>
              </w:rPr>
              <w:t>signalling</w:t>
            </w:r>
            <w:proofErr w:type="spellEnd"/>
            <w:r>
              <w:rPr>
                <w:bCs/>
              </w:rPr>
              <w:t xml:space="preserve"> to support feeder link switch-over, CHO, </w:t>
            </w:r>
            <w:proofErr w:type="gramStart"/>
            <w:r>
              <w:rPr>
                <w:bCs/>
              </w:rPr>
              <w:t>e.g.</w:t>
            </w:r>
            <w:proofErr w:type="gramEnd"/>
            <w:r>
              <w:rPr>
                <w:bCs/>
              </w:rPr>
              <w:t xml:space="preserve"> exchange of necessary information between </w:t>
            </w:r>
            <w:proofErr w:type="spellStart"/>
            <w:r>
              <w:rPr>
                <w:bCs/>
              </w:rPr>
              <w:t>gNBs</w:t>
            </w:r>
            <w:proofErr w:type="spellEnd"/>
            <w:r>
              <w:rPr>
                <w:bCs/>
              </w:rPr>
              <w:t>. [RAN3]</w:t>
            </w:r>
          </w:p>
          <w:p w14:paraId="45C687D6" w14:textId="77777777" w:rsidR="00A520D9" w:rsidRPr="008C39F7" w:rsidRDefault="00A520D9" w:rsidP="000A62C5"/>
        </w:tc>
      </w:tr>
    </w:tbl>
    <w:p w14:paraId="379CB26A" w14:textId="77777777" w:rsidR="00A520D9" w:rsidRPr="008C39F7" w:rsidRDefault="00A520D9" w:rsidP="005C23A4"/>
    <w:p w14:paraId="11756B4C" w14:textId="385C6EA1" w:rsidR="0060543D" w:rsidRDefault="00031914" w:rsidP="005C23A4">
      <w:r>
        <w:t>Besides, in previous meetings, RAN4 has</w:t>
      </w:r>
      <w:r w:rsidR="005B6F0E">
        <w:t xml:space="preserve"> initiated the discussion on the topic and some progress was made and captured in</w:t>
      </w:r>
      <w:r w:rsidR="00AD1383">
        <w:t xml:space="preserve"> </w:t>
      </w:r>
      <w:r w:rsidR="00652F00">
        <w:fldChar w:fldCharType="begin"/>
      </w:r>
      <w:r w:rsidR="00652F00">
        <w:instrText xml:space="preserve"> REF _Ref141279468 \r \h </w:instrText>
      </w:r>
      <w:r w:rsidR="00652F00">
        <w:fldChar w:fldCharType="separate"/>
      </w:r>
      <w:r w:rsidR="00652F00">
        <w:t>[4]</w:t>
      </w:r>
      <w:r w:rsidR="00652F00">
        <w:fldChar w:fldCharType="end"/>
      </w:r>
      <w:r w:rsidR="00AD1383">
        <w:fldChar w:fldCharType="begin"/>
      </w:r>
      <w:r w:rsidR="00AD1383">
        <w:instrText xml:space="preserve"> REF _Ref146534405 \r \h </w:instrText>
      </w:r>
      <w:r w:rsidR="007045FB">
        <w:fldChar w:fldCharType="separate"/>
      </w:r>
      <w:r w:rsidR="00AD1383">
        <w:fldChar w:fldCharType="end"/>
      </w:r>
      <w:r w:rsidR="005B6F0E">
        <w:t xml:space="preserve">. This contribution aims at some of the open issues discussed in previous RAN4 meeting and to specify requirements to cover some of the RAN1 and RAN2 agreements </w:t>
      </w:r>
      <w:r w:rsidR="00AD1383">
        <w:t>on enhanced mobility features for NTN. This contribution covers the following aspects:</w:t>
      </w:r>
    </w:p>
    <w:p w14:paraId="071E1B11" w14:textId="13F19FC2" w:rsidR="00AD1383" w:rsidRDefault="0006042A" w:rsidP="0006042A">
      <w:pPr>
        <w:pStyle w:val="ListParagraph"/>
        <w:numPr>
          <w:ilvl w:val="0"/>
          <w:numId w:val="32"/>
        </w:numPr>
      </w:pPr>
      <w:r>
        <w:t>Idle Mode Mobility Enhancements</w:t>
      </w:r>
    </w:p>
    <w:p w14:paraId="6ADD6924" w14:textId="2B3FBF01" w:rsidR="0006042A" w:rsidRDefault="0006042A" w:rsidP="0006042A">
      <w:pPr>
        <w:pStyle w:val="ListParagraph"/>
        <w:numPr>
          <w:ilvl w:val="1"/>
          <w:numId w:val="32"/>
        </w:numPr>
      </w:pPr>
      <w:r>
        <w:t>NTN to TN Cell reselection</w:t>
      </w:r>
    </w:p>
    <w:p w14:paraId="612E66F6" w14:textId="4104584F" w:rsidR="0006042A" w:rsidRDefault="00F2579F" w:rsidP="0006042A">
      <w:pPr>
        <w:pStyle w:val="ListParagraph"/>
        <w:numPr>
          <w:ilvl w:val="1"/>
          <w:numId w:val="32"/>
        </w:numPr>
      </w:pPr>
      <w:r>
        <w:t>Measurement Initiation triggers for Earth Moving Cells</w:t>
      </w:r>
    </w:p>
    <w:p w14:paraId="0719021E" w14:textId="14992596" w:rsidR="00F2579F" w:rsidRDefault="00F2579F" w:rsidP="00F2579F">
      <w:pPr>
        <w:pStyle w:val="ListParagraph"/>
        <w:numPr>
          <w:ilvl w:val="0"/>
          <w:numId w:val="32"/>
        </w:numPr>
      </w:pPr>
      <w:r>
        <w:t>Connected mode mobility</w:t>
      </w:r>
      <w:r w:rsidR="0048773A">
        <w:t xml:space="preserve"> </w:t>
      </w:r>
      <w:proofErr w:type="gramStart"/>
      <w:r w:rsidR="0048773A">
        <w:t>enhancements</w:t>
      </w:r>
      <w:proofErr w:type="gramEnd"/>
    </w:p>
    <w:p w14:paraId="06BDA733" w14:textId="5111FD62" w:rsidR="0048773A" w:rsidRDefault="0048773A" w:rsidP="0048773A">
      <w:pPr>
        <w:pStyle w:val="ListParagraph"/>
        <w:numPr>
          <w:ilvl w:val="1"/>
          <w:numId w:val="32"/>
        </w:numPr>
      </w:pPr>
      <w:r>
        <w:t>RACH-less HO</w:t>
      </w:r>
    </w:p>
    <w:p w14:paraId="3D06C318" w14:textId="0A706B75" w:rsidR="0048773A" w:rsidRPr="008C39F7" w:rsidRDefault="0048773A" w:rsidP="0048773A">
      <w:pPr>
        <w:pStyle w:val="ListParagraph"/>
        <w:numPr>
          <w:ilvl w:val="1"/>
          <w:numId w:val="32"/>
        </w:numPr>
      </w:pPr>
      <w:r>
        <w:t xml:space="preserve">Satellite Switching without PCI </w:t>
      </w:r>
      <w:proofErr w:type="gramStart"/>
      <w:r>
        <w:t>change</w:t>
      </w:r>
      <w:proofErr w:type="gramEnd"/>
    </w:p>
    <w:p w14:paraId="60A1ED77" w14:textId="77777777" w:rsidR="003B659E" w:rsidRPr="008C39F7" w:rsidRDefault="003B659E" w:rsidP="00AE56B1">
      <w:pPr>
        <w:pStyle w:val="RAN4H1"/>
      </w:pPr>
      <w:bookmarkStart w:id="4" w:name="_Toc116995842"/>
      <w:r w:rsidRPr="008C39F7">
        <w:lastRenderedPageBreak/>
        <w:t>Discussion</w:t>
      </w:r>
      <w:bookmarkEnd w:id="4"/>
    </w:p>
    <w:p w14:paraId="06ACFABD" w14:textId="372B6CD0" w:rsidR="0048773A" w:rsidRDefault="00652F00" w:rsidP="00534A35">
      <w:pPr>
        <w:pStyle w:val="RAN4H2"/>
      </w:pPr>
      <w:r>
        <w:t>NTN to TN Cell Reselection</w:t>
      </w:r>
    </w:p>
    <w:p w14:paraId="048CEE84" w14:textId="4788A20F" w:rsidR="00453035" w:rsidRDefault="00652F00" w:rsidP="0048773A">
      <w:pPr>
        <w:rPr>
          <w:lang w:eastAsia="ja-JP"/>
        </w:rPr>
      </w:pPr>
      <w:r>
        <w:t>In current stage of agreements, RAN4 has decide</w:t>
      </w:r>
      <w:r w:rsidR="00A21532">
        <w:t xml:space="preserve">d that </w:t>
      </w:r>
      <w:r w:rsidR="00CA1A27">
        <w:t>“</w:t>
      </w:r>
      <w:r w:rsidR="00CA1A27" w:rsidRPr="003A5D22">
        <w:rPr>
          <w:lang w:eastAsia="ja-JP"/>
        </w:rPr>
        <w:t xml:space="preserve">UE is allowed to skip TN </w:t>
      </w:r>
      <w:proofErr w:type="spellStart"/>
      <w:r w:rsidR="00CA1A27" w:rsidRPr="003A5D22">
        <w:rPr>
          <w:lang w:eastAsia="ja-JP"/>
        </w:rPr>
        <w:t>neighbour</w:t>
      </w:r>
      <w:proofErr w:type="spellEnd"/>
      <w:r w:rsidR="00CA1A27" w:rsidRPr="003A5D22">
        <w:rPr>
          <w:lang w:eastAsia="ja-JP"/>
        </w:rPr>
        <w:t xml:space="preserve"> cells measurement in an area where there is no coverage of the frequency based on the provided TN cell coverage information and UE GNSS position information.</w:t>
      </w:r>
      <w:r w:rsidR="00CA1A27">
        <w:rPr>
          <w:lang w:eastAsia="ja-JP"/>
        </w:rPr>
        <w:t>” but it was further</w:t>
      </w:r>
      <w:r w:rsidR="003A56BB">
        <w:rPr>
          <w:lang w:eastAsia="ja-JP"/>
        </w:rPr>
        <w:t xml:space="preserve"> left for further discussion whether and how </w:t>
      </w:r>
      <w:r w:rsidR="00556FD4">
        <w:rPr>
          <w:lang w:eastAsia="ja-JP"/>
        </w:rPr>
        <w:t xml:space="preserve">to implement </w:t>
      </w:r>
      <w:r w:rsidR="00922D37">
        <w:rPr>
          <w:lang w:eastAsia="ja-JP"/>
        </w:rPr>
        <w:t xml:space="preserve">it in RAN4 specifications. </w:t>
      </w:r>
    </w:p>
    <w:p w14:paraId="15217237" w14:textId="5B6B8C21" w:rsidR="00A766E7" w:rsidRPr="000F3DD5" w:rsidRDefault="001B18C2" w:rsidP="00A766E7">
      <w:pPr>
        <w:rPr>
          <w:lang w:eastAsia="ja-JP"/>
        </w:rPr>
      </w:pPr>
      <w:r>
        <w:rPr>
          <w:lang w:eastAsia="ja-JP"/>
        </w:rPr>
        <w:t xml:space="preserve">Service continuity is an important objective of this WI, and RAN2 has dedicated significant efforts to design this feature and provide appropriate enhancements. We think it is important that RAN4 specify the requirements for this  </w:t>
      </w:r>
      <w:r w:rsidR="00D43492">
        <w:rPr>
          <w:lang w:eastAsia="ja-JP"/>
        </w:rPr>
        <w:t xml:space="preserve"> </w:t>
      </w:r>
      <w:r>
        <w:rPr>
          <w:lang w:eastAsia="ja-JP"/>
        </w:rPr>
        <w:t>feature</w:t>
      </w:r>
      <w:r w:rsidR="007970A1">
        <w:rPr>
          <w:lang w:eastAsia="ja-JP"/>
        </w:rPr>
        <w:t xml:space="preserve">, in special considering the low effort needed to do it: 1) it is our understanding that the NTN to TN cell reselection </w:t>
      </w:r>
      <w:r w:rsidR="008351AA">
        <w:rPr>
          <w:lang w:eastAsia="ja-JP"/>
        </w:rPr>
        <w:t>is only configured for inter-frequency measurements, and 2) the current requirements used for NTN-to-NTN inter frequency cell reselection for the time to evaluate, detect and measure a new cell are applicable to NTN to TN.</w:t>
      </w:r>
      <w:r w:rsidR="00A766E7">
        <w:rPr>
          <w:lang w:eastAsia="ja-JP"/>
        </w:rPr>
        <w:t xml:space="preserve">  3)</w:t>
      </w:r>
      <w:r w:rsidR="00A766E7">
        <w:t xml:space="preserve"> It is also expected that TN and NTN do not coexistence in the same frequency layer. Therefore, for a given SMTC associated to a terrestrial frequency layer, the UE is not expected to adjust its doppler pre-compensation for multiple different target cells. Hence:</w:t>
      </w:r>
    </w:p>
    <w:p w14:paraId="1C2394B0" w14:textId="77777777" w:rsidR="00A766E7" w:rsidRDefault="00A766E7" w:rsidP="00A766E7">
      <w:pPr>
        <w:pStyle w:val="RAN4proposal"/>
      </w:pPr>
      <w:bookmarkStart w:id="5" w:name="_Toc149937554"/>
      <w:r>
        <w:t>For the NTN to TN Cell Reselection Requirements, re-use the same requirements for inter-frequency cell reselection (</w:t>
      </w:r>
      <w:proofErr w:type="spellStart"/>
      <w:r>
        <w:t>T</w:t>
      </w:r>
      <w:r w:rsidRPr="008351AA">
        <w:rPr>
          <w:vertAlign w:val="subscript"/>
        </w:rPr>
        <w:t>measure</w:t>
      </w:r>
      <w:proofErr w:type="spellEnd"/>
      <w:r>
        <w:t xml:space="preserve">, </w:t>
      </w:r>
      <w:proofErr w:type="spellStart"/>
      <w:r>
        <w:t>T</w:t>
      </w:r>
      <w:r w:rsidRPr="008351AA">
        <w:rPr>
          <w:vertAlign w:val="subscript"/>
        </w:rPr>
        <w:t>detect</w:t>
      </w:r>
      <w:proofErr w:type="spellEnd"/>
      <w:r>
        <w:t xml:space="preserve">, </w:t>
      </w:r>
      <w:proofErr w:type="spellStart"/>
      <w:r>
        <w:t>T</w:t>
      </w:r>
      <w:r w:rsidRPr="008351AA">
        <w:rPr>
          <w:vertAlign w:val="subscript"/>
        </w:rPr>
        <w:t>measure</w:t>
      </w:r>
      <w:proofErr w:type="spellEnd"/>
      <w:r>
        <w:t xml:space="preserve">) used for NTN to NTN, with </w:t>
      </w:r>
      <w:proofErr w:type="spellStart"/>
      <w:r>
        <w:t>K_multi_SMTC</w:t>
      </w:r>
      <w:proofErr w:type="spellEnd"/>
      <w:r>
        <w:t xml:space="preserve"> =1.</w:t>
      </w:r>
      <w:bookmarkEnd w:id="5"/>
    </w:p>
    <w:p w14:paraId="0F9D891A" w14:textId="77777777" w:rsidR="0054146C" w:rsidRPr="00C74631" w:rsidRDefault="0054146C" w:rsidP="0054146C">
      <w:pPr>
        <w:pStyle w:val="RAN4proposal"/>
      </w:pPr>
      <w:bookmarkStart w:id="6" w:name="_Toc149937555"/>
      <w:r>
        <w:t>Capture in specification that “When the UE is configured to measure a frequency layer associated to terrestrial cells, the measurement requirements are not applicable when the UE is provided with information about the TN coverage area and the UE is outside the coverage area”.</w:t>
      </w:r>
      <w:bookmarkEnd w:id="6"/>
      <w:r>
        <w:t xml:space="preserve">  </w:t>
      </w:r>
    </w:p>
    <w:p w14:paraId="71100BB1" w14:textId="77777777" w:rsidR="0054146C" w:rsidRPr="0054146C" w:rsidRDefault="0054146C" w:rsidP="0054146C"/>
    <w:p w14:paraId="66566D5E" w14:textId="77777777" w:rsidR="00A766E7" w:rsidRDefault="00A766E7" w:rsidP="00A766E7">
      <w:r>
        <w:t>Another aspect that was recently agreed in RAN2 is the RAT associated to the target cells in TN:</w:t>
      </w:r>
    </w:p>
    <w:tbl>
      <w:tblPr>
        <w:tblStyle w:val="TableGrid"/>
        <w:tblW w:w="0" w:type="auto"/>
        <w:tblLook w:val="04A0" w:firstRow="1" w:lastRow="0" w:firstColumn="1" w:lastColumn="0" w:noHBand="0" w:noVBand="1"/>
      </w:tblPr>
      <w:tblGrid>
        <w:gridCol w:w="9617"/>
      </w:tblGrid>
      <w:tr w:rsidR="00A766E7" w14:paraId="685DBD5B" w14:textId="77777777" w:rsidTr="00B65118">
        <w:tc>
          <w:tcPr>
            <w:tcW w:w="9617" w:type="dxa"/>
          </w:tcPr>
          <w:p w14:paraId="1CAEAB3B" w14:textId="77777777" w:rsidR="00A766E7" w:rsidRPr="00527750" w:rsidRDefault="00A766E7" w:rsidP="00B65118">
            <w:pPr>
              <w:rPr>
                <w:lang w:val="en-GB"/>
              </w:rPr>
            </w:pPr>
            <w:r w:rsidRPr="00527750">
              <w:rPr>
                <w:lang w:val="en-GB"/>
              </w:rPr>
              <w:t>Agreements</w:t>
            </w:r>
            <w:r>
              <w:rPr>
                <w:lang w:val="en-GB"/>
              </w:rPr>
              <w:t xml:space="preserve"> (RAN 2 #123)</w:t>
            </w:r>
            <w:r w:rsidRPr="00527750">
              <w:rPr>
                <w:lang w:val="en-GB"/>
              </w:rPr>
              <w:t xml:space="preserve">: </w:t>
            </w:r>
          </w:p>
          <w:p w14:paraId="73EBC87A" w14:textId="77777777" w:rsidR="00A766E7" w:rsidRPr="00527750" w:rsidRDefault="00A766E7" w:rsidP="00B65118">
            <w:pPr>
              <w:rPr>
                <w:lang w:val="en-GB"/>
              </w:rPr>
            </w:pPr>
            <w:r w:rsidRPr="00527750">
              <w:rPr>
                <w:lang w:val="en-GB"/>
              </w:rPr>
              <w:t>1.</w:t>
            </w:r>
            <w:r w:rsidRPr="00527750">
              <w:rPr>
                <w:lang w:val="en-GB"/>
              </w:rPr>
              <w:tab/>
            </w:r>
            <w:proofErr w:type="gramStart"/>
            <w:r w:rsidRPr="00527750">
              <w:rPr>
                <w:lang w:val="en-GB"/>
              </w:rPr>
              <w:t>Both of the NR TN</w:t>
            </w:r>
            <w:proofErr w:type="gramEnd"/>
            <w:r w:rsidRPr="00527750">
              <w:rPr>
                <w:lang w:val="en-GB"/>
              </w:rPr>
              <w:t xml:space="preserve"> coverage and EUTRA TN coverage can be provided.</w:t>
            </w:r>
          </w:p>
          <w:p w14:paraId="3776EC8D" w14:textId="77777777" w:rsidR="00A766E7" w:rsidRPr="00135158" w:rsidRDefault="00A766E7" w:rsidP="00B65118">
            <w:pPr>
              <w:rPr>
                <w:lang w:val="en-GB"/>
              </w:rPr>
            </w:pPr>
          </w:p>
        </w:tc>
      </w:tr>
    </w:tbl>
    <w:p w14:paraId="6F36279E" w14:textId="77777777" w:rsidR="00A766E7" w:rsidRPr="000166A6" w:rsidRDefault="00A766E7" w:rsidP="00A766E7"/>
    <w:p w14:paraId="0B9AD741" w14:textId="77777777" w:rsidR="00A766E7" w:rsidRDefault="00A766E7" w:rsidP="00A766E7">
      <w:pPr>
        <w:pStyle w:val="RAN4proposal"/>
      </w:pPr>
      <w:r>
        <w:t xml:space="preserve">  </w:t>
      </w:r>
      <w:bookmarkStart w:id="7" w:name="_Toc149937556"/>
      <w:r>
        <w:t>Capture in TS 38.133 the cell reselection from NR NTN to EUTRA TN.</w:t>
      </w:r>
      <w:bookmarkEnd w:id="7"/>
      <w:r>
        <w:t xml:space="preserve"> </w:t>
      </w:r>
    </w:p>
    <w:p w14:paraId="56D3C460" w14:textId="77777777" w:rsidR="00A766E7" w:rsidRDefault="00A766E7" w:rsidP="0048773A">
      <w:pPr>
        <w:rPr>
          <w:lang w:eastAsia="ja-JP"/>
        </w:rPr>
      </w:pPr>
    </w:p>
    <w:p w14:paraId="09EA45B3" w14:textId="77777777" w:rsidR="003E7D15" w:rsidRDefault="00AB2603" w:rsidP="0048773A">
      <w:r>
        <w:t xml:space="preserve">Another point discussed in the previous meeting regards whether RAN4 should provide measurement enhancements when the UE </w:t>
      </w:r>
      <w:r w:rsidR="00161F45">
        <w:t xml:space="preserve">is configured to measure a terrestrial cell, considering that there might be a mismatch between the coverage area provided and configured in SIB and the actual one. We do not consider advantageous to relax the UE measurements in </w:t>
      </w:r>
      <w:r w:rsidR="003E7D15">
        <w:t xml:space="preserve">such scenarios. </w:t>
      </w:r>
      <w:proofErr w:type="gramStart"/>
      <w:r w:rsidR="003E7D15">
        <w:t>First of all</w:t>
      </w:r>
      <w:proofErr w:type="gramEnd"/>
      <w:r w:rsidR="003E7D15">
        <w:t>, the UE will only be measuring the NTN frequency in two scenarios:</w:t>
      </w:r>
    </w:p>
    <w:p w14:paraId="5024C153" w14:textId="4750A68F" w:rsidR="00161F45" w:rsidRDefault="003E7D15" w:rsidP="003E7D15">
      <w:pPr>
        <w:pStyle w:val="ListParagraph"/>
        <w:numPr>
          <w:ilvl w:val="0"/>
          <w:numId w:val="37"/>
        </w:numPr>
      </w:pPr>
      <w:r>
        <w:t xml:space="preserve">TN frequency has lower priority AND one of the measurement initiations </w:t>
      </w:r>
      <w:proofErr w:type="gramStart"/>
      <w:r>
        <w:t>condition</w:t>
      </w:r>
      <w:proofErr w:type="gramEnd"/>
      <w:r>
        <w:t xml:space="preserve"> was met (S-Criteria below a certain level, Time-based measurement initiation or location-based measurement initiation): in any of the cases where a measurement condition was triggered, the UE has expectation of running out of coverage soon, and shall measure all configured frequencies as expected, in order to find a new cell. </w:t>
      </w:r>
    </w:p>
    <w:p w14:paraId="2F774903" w14:textId="77777777" w:rsidR="00083E4F" w:rsidRDefault="00A549C9" w:rsidP="003E7D15">
      <w:pPr>
        <w:pStyle w:val="ListParagraph"/>
        <w:numPr>
          <w:ilvl w:val="0"/>
          <w:numId w:val="37"/>
        </w:numPr>
      </w:pPr>
      <w:r>
        <w:t xml:space="preserve">TN frequency has higher priority than the current NTN frequency: in this case, the NW has already decided that the UE shall search the TN frequency as soon as possible, by assigning a higher priority to it. Besides, RAN2 already provided the measurement enhancement by creating the concept of the “TN coverage area” that might be conservatively configured by the NW. If the NW has assigned higher priority for this frequency layer, it is counter-intuitive to provide a relaxation of the measurements for this frequency, which might </w:t>
      </w:r>
      <w:r w:rsidR="00083E4F">
        <w:t xml:space="preserve">end up in a situation where frequencies with lower priority are measured more often </w:t>
      </w:r>
      <w:proofErr w:type="spellStart"/>
      <w:proofErr w:type="gramStart"/>
      <w:r w:rsidR="00083E4F">
        <w:t>then</w:t>
      </w:r>
      <w:proofErr w:type="spellEnd"/>
      <w:proofErr w:type="gramEnd"/>
      <w:r w:rsidR="00083E4F">
        <w:t xml:space="preserve"> frequencies with higher priority. </w:t>
      </w:r>
    </w:p>
    <w:p w14:paraId="6E5CEB52" w14:textId="73D1D8E7" w:rsidR="00A549C9" w:rsidRDefault="00083E4F" w:rsidP="00083E4F">
      <w:pPr>
        <w:pStyle w:val="RAN4proposal"/>
      </w:pPr>
      <w:bookmarkStart w:id="8" w:name="_Toc149937557"/>
      <w:r>
        <w:t>Do not provide enhancements for the TN cell reselection to account for mismatch between the TN coverage area configured by the Network and the real coverage area.</w:t>
      </w:r>
      <w:bookmarkEnd w:id="8"/>
      <w:r>
        <w:t xml:space="preserve"> </w:t>
      </w:r>
      <w:r w:rsidR="00A549C9">
        <w:t xml:space="preserve"> </w:t>
      </w:r>
    </w:p>
    <w:p w14:paraId="6F75404E" w14:textId="77777777" w:rsidR="00161F45" w:rsidRDefault="00161F45" w:rsidP="0048773A"/>
    <w:p w14:paraId="3D96C063" w14:textId="77777777" w:rsidR="00993130" w:rsidRDefault="00993130" w:rsidP="0048773A"/>
    <w:p w14:paraId="7900301B" w14:textId="77777777" w:rsidR="00993130" w:rsidRDefault="00993130" w:rsidP="0048773A"/>
    <w:p w14:paraId="113794D4" w14:textId="77777777" w:rsidR="008E4F8B" w:rsidRDefault="008E4F8B" w:rsidP="00534A35">
      <w:pPr>
        <w:pStyle w:val="RAN4H2"/>
      </w:pPr>
      <w:r>
        <w:t xml:space="preserve">Hard satellite switch with same PCI. </w:t>
      </w:r>
    </w:p>
    <w:p w14:paraId="6DA9D746" w14:textId="09D32D30" w:rsidR="00AF6854" w:rsidRDefault="008E4F8B" w:rsidP="00AF6854">
      <w:r>
        <w:t>In our previous contribution, we have demonstrated that</w:t>
      </w:r>
      <w:r w:rsidR="00F40E0D">
        <w:t xml:space="preserve"> the point in time where DL and UL data channels become unreachable from/toward the target satellite are different in time (the discussion is reproduced for convenience in Annex A): </w:t>
      </w:r>
    </w:p>
    <w:p w14:paraId="27BFCC00" w14:textId="77777777" w:rsidR="00AF6854" w:rsidRDefault="00AF6854" w:rsidP="00AF6854">
      <w:pPr>
        <w:pStyle w:val="RAN4observation0"/>
      </w:pPr>
      <w:bookmarkStart w:id="9" w:name="_Toc149937558"/>
      <w:r>
        <w:t>For hard-switch the UL switch time and the DL switch time at the UE are different.</w:t>
      </w:r>
      <w:bookmarkEnd w:id="9"/>
    </w:p>
    <w:p w14:paraId="0401EDAD" w14:textId="77777777" w:rsidR="00AF6854" w:rsidRDefault="00AF6854" w:rsidP="00AF6854">
      <w:pPr>
        <w:pStyle w:val="RAN4observation0"/>
        <w:numPr>
          <w:ilvl w:val="1"/>
          <w:numId w:val="6"/>
        </w:numPr>
      </w:pPr>
      <w:bookmarkStart w:id="10" w:name="_Toc149937559"/>
      <w:r>
        <w:t xml:space="preserve">UL information sent by UE toward source satellite is unreachable from </w:t>
      </w:r>
      <w:proofErr w:type="spellStart"/>
      <w:r>
        <w:t>t</w:t>
      </w:r>
      <w:r w:rsidRPr="006129C7">
        <w:rPr>
          <w:vertAlign w:val="subscript"/>
        </w:rPr>
        <w:t>ue_ul_switch</w:t>
      </w:r>
      <w:proofErr w:type="spellEnd"/>
      <w:r w:rsidRPr="006129C7">
        <w:rPr>
          <w:vertAlign w:val="subscript"/>
        </w:rPr>
        <w:t xml:space="preserve"> </w:t>
      </w:r>
      <w:r>
        <w:t>= t-service – feeder link propagation delay</w:t>
      </w:r>
      <w:bookmarkEnd w:id="10"/>
    </w:p>
    <w:p w14:paraId="5907B8DF" w14:textId="77777777" w:rsidR="00AF6854" w:rsidRPr="006129C7" w:rsidRDefault="00AF6854" w:rsidP="00AF6854">
      <w:pPr>
        <w:pStyle w:val="RAN4observation0"/>
        <w:numPr>
          <w:ilvl w:val="1"/>
          <w:numId w:val="6"/>
        </w:numPr>
      </w:pPr>
      <w:bookmarkStart w:id="11" w:name="_Toc149937560"/>
      <w:r>
        <w:t xml:space="preserve">DL switch time occurs at </w:t>
      </w:r>
      <w:proofErr w:type="spellStart"/>
      <w:r>
        <w:t>t</w:t>
      </w:r>
      <w:r w:rsidRPr="006129C7">
        <w:rPr>
          <w:vertAlign w:val="subscript"/>
        </w:rPr>
        <w:t>ue_dl_switch</w:t>
      </w:r>
      <w:proofErr w:type="spellEnd"/>
      <w:r w:rsidRPr="006129C7">
        <w:rPr>
          <w:vertAlign w:val="subscript"/>
        </w:rPr>
        <w:t xml:space="preserve"> </w:t>
      </w:r>
      <w:r>
        <w:t>= t-service + feeder link propagation delay</w:t>
      </w:r>
      <w:bookmarkEnd w:id="11"/>
    </w:p>
    <w:p w14:paraId="04A626A6" w14:textId="77777777" w:rsidR="008E4F8B" w:rsidRDefault="008E4F8B" w:rsidP="008E4F8B">
      <w:pPr>
        <w:pStyle w:val="RAN4H3"/>
        <w:numPr>
          <w:ilvl w:val="0"/>
          <w:numId w:val="0"/>
        </w:numPr>
      </w:pPr>
    </w:p>
    <w:p w14:paraId="3095E360" w14:textId="420360E4" w:rsidR="00BF69F6" w:rsidRPr="000C4CA5" w:rsidRDefault="00F40E0D" w:rsidP="008E4F8B">
      <w:r>
        <w:t xml:space="preserve">Therefore, if the UE is in this condition </w:t>
      </w:r>
      <w:r w:rsidR="00B90C72">
        <w:t xml:space="preserve">the UE needs to stop transmitting towards the target satellite at time </w:t>
      </w:r>
      <w:r w:rsidR="00B90C72" w:rsidRPr="00B90C72">
        <w:t>a.</w:t>
      </w:r>
      <w:r w:rsidR="00B90C72" w:rsidRPr="00B90C72">
        <w:tab/>
      </w:r>
      <w:proofErr w:type="spellStart"/>
      <w:r w:rsidR="00B90C72" w:rsidRPr="00B90C72">
        <w:t>t</w:t>
      </w:r>
      <w:r w:rsidR="00B90C72" w:rsidRPr="00B90C72">
        <w:rPr>
          <w:vertAlign w:val="subscript"/>
        </w:rPr>
        <w:t>ue_ul_switch</w:t>
      </w:r>
      <w:proofErr w:type="spellEnd"/>
      <w:r w:rsidR="00B90C72" w:rsidRPr="00B90C72">
        <w:rPr>
          <w:vertAlign w:val="subscript"/>
        </w:rPr>
        <w:t xml:space="preserve"> </w:t>
      </w:r>
      <w:r w:rsidR="00B90C72" w:rsidRPr="00B90C72">
        <w:t xml:space="preserve">= t-service – </w:t>
      </w:r>
      <w:r w:rsidR="000C4CA5">
        <w:t>common</w:t>
      </w:r>
      <w:r w:rsidR="00B90C72" w:rsidRPr="00B90C72">
        <w:t xml:space="preserve"> delay</w:t>
      </w:r>
      <w:r w:rsidR="00B90C72">
        <w:t xml:space="preserve">, and in this point in time the UE shall perform UE transmission towards the target satellite. </w:t>
      </w:r>
      <w:r w:rsidR="00BF69F6">
        <w:t xml:space="preserve">However, the UE can still be monitoring the old satellite, as it is potentially </w:t>
      </w:r>
      <w:proofErr w:type="gramStart"/>
      <w:r w:rsidR="00BF69F6">
        <w:t>awaiting</w:t>
      </w:r>
      <w:proofErr w:type="gramEnd"/>
      <w:r w:rsidR="00BF69F6">
        <w:t xml:space="preserve"> for a dynamic/configured grant to be used at the target satellite. </w:t>
      </w:r>
      <w:r w:rsidR="00074D7F">
        <w:t>But</w:t>
      </w:r>
      <w:r w:rsidR="0099201E">
        <w:t xml:space="preserve"> if the UE is performing this operation, then it is monitoring the DL incoming from a satellite while switching the UL operation towards a different satellite. </w:t>
      </w:r>
      <w:r w:rsidR="00F43A89">
        <w:t xml:space="preserve">This can only be performed for UEs that support the capability </w:t>
      </w:r>
      <w:r w:rsidR="000C4CA5" w:rsidRPr="000C4CA5">
        <w:rPr>
          <w:i/>
          <w:iCs/>
        </w:rPr>
        <w:t>parallelMeasurementWithoutRestriction-r17</w:t>
      </w:r>
      <w:r w:rsidR="000C4CA5">
        <w:t xml:space="preserve">. </w:t>
      </w:r>
    </w:p>
    <w:p w14:paraId="39390994" w14:textId="2A7DCA06" w:rsidR="0099201E" w:rsidRDefault="00F43A89" w:rsidP="00F43A89">
      <w:pPr>
        <w:pStyle w:val="RAN4proposal"/>
        <w:rPr>
          <w:rFonts w:ascii="Arial" w:hAnsi="Arial" w:cs="Arial"/>
          <w:sz w:val="18"/>
        </w:rPr>
      </w:pPr>
      <w:bookmarkStart w:id="12" w:name="_Toc149937561"/>
      <w:r>
        <w:t>In the case of hard satellite switch with same PCI, a sche</w:t>
      </w:r>
      <w:r w:rsidR="000C4CA5">
        <w:t xml:space="preserve">duling restriction applies to UEs that do not support </w:t>
      </w:r>
      <w:r w:rsidR="000C4CA5">
        <w:rPr>
          <w:rFonts w:ascii="Arial" w:hAnsi="Arial" w:cs="Arial"/>
          <w:b w:val="0"/>
          <w:bCs/>
          <w:i/>
          <w:iCs w:val="0"/>
          <w:sz w:val="18"/>
        </w:rPr>
        <w:t xml:space="preserve">parallelMeasurementWithoutRestriction-r17 </w:t>
      </w:r>
      <w:r w:rsidR="000C4CA5">
        <w:rPr>
          <w:rFonts w:ascii="Arial" w:hAnsi="Arial" w:cs="Arial"/>
          <w:sz w:val="18"/>
        </w:rPr>
        <w:t>starting at</w:t>
      </w:r>
      <w:r w:rsidR="00AD12DD">
        <w:rPr>
          <w:rFonts w:ascii="Arial" w:hAnsi="Arial" w:cs="Arial"/>
          <w:sz w:val="18"/>
        </w:rPr>
        <w:t xml:space="preserve"> the UL slot to be transmitted at</w:t>
      </w:r>
      <w:r w:rsidR="000C4CA5">
        <w:rPr>
          <w:rFonts w:ascii="Arial" w:hAnsi="Arial" w:cs="Arial"/>
          <w:sz w:val="18"/>
        </w:rPr>
        <w:t xml:space="preserve"> </w:t>
      </w:r>
      <w:proofErr w:type="spellStart"/>
      <w:r w:rsidR="000C4CA5" w:rsidRPr="000C4CA5">
        <w:rPr>
          <w:rFonts w:ascii="Arial" w:hAnsi="Arial" w:cs="Arial"/>
          <w:sz w:val="18"/>
        </w:rPr>
        <w:t>t</w:t>
      </w:r>
      <w:r w:rsidR="000C4CA5" w:rsidRPr="000C4CA5">
        <w:rPr>
          <w:rFonts w:ascii="Arial" w:hAnsi="Arial" w:cs="Arial"/>
          <w:sz w:val="18"/>
          <w:vertAlign w:val="subscript"/>
        </w:rPr>
        <w:t>ue_ul_switch</w:t>
      </w:r>
      <w:proofErr w:type="spellEnd"/>
      <w:r w:rsidR="000C4CA5" w:rsidRPr="000C4CA5">
        <w:rPr>
          <w:rFonts w:ascii="Arial" w:hAnsi="Arial" w:cs="Arial"/>
          <w:sz w:val="18"/>
          <w:vertAlign w:val="subscript"/>
        </w:rPr>
        <w:t xml:space="preserve"> </w:t>
      </w:r>
      <w:r w:rsidR="000C4CA5" w:rsidRPr="000C4CA5">
        <w:rPr>
          <w:rFonts w:ascii="Arial" w:hAnsi="Arial" w:cs="Arial"/>
          <w:sz w:val="18"/>
        </w:rPr>
        <w:t>= t-service – common delay</w:t>
      </w:r>
      <w:r w:rsidR="004E4349">
        <w:rPr>
          <w:rFonts w:ascii="Arial" w:hAnsi="Arial" w:cs="Arial"/>
          <w:sz w:val="18"/>
        </w:rPr>
        <w:t>.</w:t>
      </w:r>
      <w:bookmarkEnd w:id="12"/>
      <w:r w:rsidR="004E4349">
        <w:rPr>
          <w:rFonts w:ascii="Arial" w:hAnsi="Arial" w:cs="Arial"/>
          <w:sz w:val="18"/>
        </w:rPr>
        <w:t xml:space="preserve"> </w:t>
      </w:r>
    </w:p>
    <w:p w14:paraId="5F301885" w14:textId="77777777" w:rsidR="00B90C72" w:rsidRDefault="00B90C72" w:rsidP="008E4F8B"/>
    <w:p w14:paraId="743E26F2" w14:textId="4EB8A302" w:rsidR="00534A35" w:rsidRDefault="00344C6D" w:rsidP="00534A35">
      <w:pPr>
        <w:pStyle w:val="RAN4H3"/>
      </w:pPr>
      <w:r>
        <w:t>Downlink interruption time</w:t>
      </w:r>
    </w:p>
    <w:p w14:paraId="204C44CC" w14:textId="44E6419B" w:rsidR="00344C6D" w:rsidRDefault="00344C6D" w:rsidP="00344C6D">
      <w:r w:rsidRPr="00344C6D">
        <w:t>As previously discussed, the last</w:t>
      </w:r>
      <w:r>
        <w:t xml:space="preserve"> slot transmitted in DL by the GW towards the source satellite was transmitted in the DL slot corresponding to the last </w:t>
      </w:r>
      <w:r w:rsidR="00A138EE">
        <w:t xml:space="preserve">slot that can be completed before: </w:t>
      </w:r>
      <w:proofErr w:type="spellStart"/>
      <w:r w:rsidR="00A138EE">
        <w:t>t</w:t>
      </w:r>
      <w:r w:rsidR="00A138EE" w:rsidRPr="006129C7">
        <w:rPr>
          <w:vertAlign w:val="subscript"/>
        </w:rPr>
        <w:t>ue_dl_switch</w:t>
      </w:r>
      <w:proofErr w:type="spellEnd"/>
      <w:r w:rsidR="00A138EE" w:rsidRPr="006129C7">
        <w:rPr>
          <w:vertAlign w:val="subscript"/>
        </w:rPr>
        <w:t xml:space="preserve"> </w:t>
      </w:r>
      <w:r w:rsidR="00A138EE">
        <w:t xml:space="preserve">= t-service + common delay. </w:t>
      </w:r>
      <w:r w:rsidR="00FD1407">
        <w:t>This is represented by slot “n”</w:t>
      </w:r>
      <w:r w:rsidR="008A1EAD">
        <w:t xml:space="preserve"> </w:t>
      </w:r>
      <w:r w:rsidR="0029009C">
        <w:t xml:space="preserve">in </w:t>
      </w:r>
      <w:r w:rsidR="008A1EAD">
        <w:fldChar w:fldCharType="begin"/>
      </w:r>
      <w:r w:rsidR="008A1EAD">
        <w:instrText xml:space="preserve"> REF _Ref149771662 \h </w:instrText>
      </w:r>
      <w:r w:rsidR="008A1EAD">
        <w:fldChar w:fldCharType="separate"/>
      </w:r>
      <w:r w:rsidR="008A1EAD">
        <w:t xml:space="preserve">Figure </w:t>
      </w:r>
      <w:r w:rsidR="008A1EAD">
        <w:rPr>
          <w:noProof/>
        </w:rPr>
        <w:t>1</w:t>
      </w:r>
      <w:r w:rsidR="008A1EAD">
        <w:fldChar w:fldCharType="end"/>
      </w:r>
      <w:r w:rsidR="008A1EAD">
        <w:t xml:space="preserve">. The first slot transmitted by the gNB towards the target satellite is depicted in the same </w:t>
      </w:r>
      <w:r w:rsidR="00AC6193">
        <w:t>f</w:t>
      </w:r>
      <w:r w:rsidR="008A1EAD">
        <w:t>igure as slot “m”.</w:t>
      </w:r>
      <w:r w:rsidR="00FD1407">
        <w:t xml:space="preserve"> </w:t>
      </w:r>
    </w:p>
    <w:p w14:paraId="297487A0" w14:textId="38F84B47" w:rsidR="00A138EE" w:rsidRDefault="00FD1407" w:rsidP="00344C6D">
      <w:r>
        <w:t xml:space="preserve">Assuming the </w:t>
      </w:r>
      <w:r w:rsidR="00AC6193">
        <w:t>gNB</w:t>
      </w:r>
      <w:r>
        <w:t xml:space="preserve"> maintain</w:t>
      </w:r>
      <w:r w:rsidR="00AC6193">
        <w:t>s</w:t>
      </w:r>
      <w:r>
        <w:t xml:space="preserve"> the time alignment across the transmitted slots before and after the switch, </w:t>
      </w:r>
      <w:r w:rsidR="00074B93">
        <w:t xml:space="preserve">there is further restrictions over slot “m”. If it is transmitted too early, it might collide </w:t>
      </w:r>
      <w:r w:rsidR="00CB66B2">
        <w:t>in DL with the transmissions received by the UE from the source satellite (destructive interference</w:t>
      </w:r>
      <w:r w:rsidR="00C455DD">
        <w:t>) depending on the difference between the total propagation time comparing the routing through sourcing and targeting satellite:</w:t>
      </w:r>
    </w:p>
    <w:p w14:paraId="44E6AE9F" w14:textId="416869CE" w:rsidR="00357A3E" w:rsidRDefault="00357A3E" w:rsidP="00357A3E">
      <w:pPr>
        <w:pStyle w:val="ListParagraph"/>
        <w:numPr>
          <w:ilvl w:val="0"/>
          <w:numId w:val="38"/>
        </w:numPr>
      </w:pPr>
      <w:r>
        <w:t>Slot “n” will be received by UE at t(n) + t</w:t>
      </w:r>
      <w:r w:rsidRPr="00357A3E">
        <w:rPr>
          <w:vertAlign w:val="subscript"/>
        </w:rPr>
        <w:t>1</w:t>
      </w:r>
      <w:r>
        <w:t xml:space="preserve"> + </w:t>
      </w:r>
      <w:proofErr w:type="gramStart"/>
      <w:r>
        <w:t>t</w:t>
      </w:r>
      <w:r w:rsidRPr="00357A3E">
        <w:rPr>
          <w:vertAlign w:val="subscript"/>
        </w:rPr>
        <w:t>2</w:t>
      </w:r>
      <w:r>
        <w:t>;</w:t>
      </w:r>
      <w:proofErr w:type="gramEnd"/>
      <w:r>
        <w:t xml:space="preserve"> where t(n) is the transmission point for the slot</w:t>
      </w:r>
      <w:r w:rsidR="00E7201A">
        <w:t xml:space="preserve"> “n”</w:t>
      </w:r>
    </w:p>
    <w:p w14:paraId="3FC3BCEA" w14:textId="56D7FAC8" w:rsidR="00E7201A" w:rsidRDefault="00E7201A" w:rsidP="00357A3E">
      <w:pPr>
        <w:pStyle w:val="ListParagraph"/>
        <w:numPr>
          <w:ilvl w:val="0"/>
          <w:numId w:val="38"/>
        </w:numPr>
      </w:pPr>
      <w:r>
        <w:t>Slot “m” will be received by UE at t(m)+t</w:t>
      </w:r>
      <w:r w:rsidRPr="00E7201A">
        <w:rPr>
          <w:vertAlign w:val="subscript"/>
        </w:rPr>
        <w:t xml:space="preserve">3 </w:t>
      </w:r>
      <w:r>
        <w:t xml:space="preserve">+ </w:t>
      </w:r>
      <w:proofErr w:type="gramStart"/>
      <w:r>
        <w:t>t</w:t>
      </w:r>
      <w:r w:rsidRPr="00E7201A">
        <w:rPr>
          <w:vertAlign w:val="subscript"/>
        </w:rPr>
        <w:t>4</w:t>
      </w:r>
      <w:r>
        <w:t>;</w:t>
      </w:r>
      <w:proofErr w:type="gramEnd"/>
      <w:r>
        <w:t xml:space="preserve"> where t(m) is the transmission point for the slot “m”.</w:t>
      </w:r>
    </w:p>
    <w:p w14:paraId="0174C5FB" w14:textId="5457C32D" w:rsidR="00E7201A" w:rsidRPr="00260F97" w:rsidRDefault="00E7201A" w:rsidP="00E7201A">
      <w:r>
        <w:t>If t(m)+t</w:t>
      </w:r>
      <w:r w:rsidRPr="00FC1853">
        <w:rPr>
          <w:vertAlign w:val="subscript"/>
        </w:rPr>
        <w:t>3</w:t>
      </w:r>
      <w:r>
        <w:t>+t</w:t>
      </w:r>
      <w:r w:rsidRPr="00FC1853">
        <w:rPr>
          <w:vertAlign w:val="subscript"/>
        </w:rPr>
        <w:t>4</w:t>
      </w:r>
      <w:r>
        <w:t xml:space="preserve"> </w:t>
      </w:r>
      <w:r w:rsidR="008D4305">
        <w:rPr>
          <w:rFonts w:cs="Times New Roman"/>
        </w:rPr>
        <w:t>≤</w:t>
      </w:r>
      <w:r w:rsidR="008D4305">
        <w:t xml:space="preserve"> t(n) + t</w:t>
      </w:r>
      <w:r w:rsidR="008D4305" w:rsidRPr="00FC1853">
        <w:rPr>
          <w:vertAlign w:val="subscript"/>
        </w:rPr>
        <w:t>1</w:t>
      </w:r>
      <w:r w:rsidR="008D4305">
        <w:t xml:space="preserve"> + t</w:t>
      </w:r>
      <w:r w:rsidR="008D4305" w:rsidRPr="00FC1853">
        <w:rPr>
          <w:vertAlign w:val="subscript"/>
        </w:rPr>
        <w:t>2</w:t>
      </w:r>
      <w:r w:rsidR="008D4305">
        <w:t xml:space="preserve"> + </w:t>
      </w:r>
      <w:proofErr w:type="spellStart"/>
      <w:r w:rsidR="008D4305">
        <w:t>t</w:t>
      </w:r>
      <w:r w:rsidR="008D4305" w:rsidRPr="00FC1853">
        <w:rPr>
          <w:vertAlign w:val="subscript"/>
        </w:rPr>
        <w:t>slot</w:t>
      </w:r>
      <w:proofErr w:type="spellEnd"/>
      <w:r w:rsidR="008D4305">
        <w:t xml:space="preserve">, where </w:t>
      </w:r>
      <w:proofErr w:type="spellStart"/>
      <w:r w:rsidR="008D4305">
        <w:t>tslot</w:t>
      </w:r>
      <w:proofErr w:type="spellEnd"/>
      <w:r w:rsidR="008D4305">
        <w:t xml:space="preserve"> is the duration of a slot, then there is </w:t>
      </w:r>
      <w:r w:rsidR="00FC1853">
        <w:t xml:space="preserve">mutual interference at the DL reception by the UE. </w:t>
      </w:r>
      <w:r w:rsidR="00260F97">
        <w:t xml:space="preserve">Therefore, the NW needs to stop broadcasting for a DL gap (blanking of DL resources) for a period longer than </w:t>
      </w:r>
      <w:proofErr w:type="spellStart"/>
      <w:r w:rsidR="00260F97">
        <w:t>t</w:t>
      </w:r>
      <w:r w:rsidR="00260F97" w:rsidRPr="00260F97">
        <w:rPr>
          <w:vertAlign w:val="subscript"/>
        </w:rPr>
        <w:t>diff</w:t>
      </w:r>
      <w:proofErr w:type="spellEnd"/>
      <w:r w:rsidR="00260F97">
        <w:t xml:space="preserve"> = t</w:t>
      </w:r>
      <w:r w:rsidR="00260F97" w:rsidRPr="00FC1853">
        <w:rPr>
          <w:vertAlign w:val="subscript"/>
        </w:rPr>
        <w:t>1</w:t>
      </w:r>
      <w:r w:rsidR="00260F97">
        <w:t xml:space="preserve"> + t</w:t>
      </w:r>
      <w:r w:rsidR="00260F97" w:rsidRPr="00FC1853">
        <w:rPr>
          <w:vertAlign w:val="subscript"/>
        </w:rPr>
        <w:t>2</w:t>
      </w:r>
      <w:r w:rsidR="00260F97">
        <w:rPr>
          <w:vertAlign w:val="subscript"/>
        </w:rPr>
        <w:t xml:space="preserve"> </w:t>
      </w:r>
      <w:r w:rsidR="00260F97">
        <w:t>– (t</w:t>
      </w:r>
      <w:r w:rsidR="00260F97" w:rsidRPr="00FC1853">
        <w:rPr>
          <w:vertAlign w:val="subscript"/>
        </w:rPr>
        <w:t>3</w:t>
      </w:r>
      <w:r w:rsidR="00260F97">
        <w:t>+t</w:t>
      </w:r>
      <w:r w:rsidR="00260F97" w:rsidRPr="00FC1853">
        <w:rPr>
          <w:vertAlign w:val="subscript"/>
        </w:rPr>
        <w:t>4</w:t>
      </w:r>
      <w:r w:rsidR="00260F97">
        <w:t>).</w:t>
      </w:r>
    </w:p>
    <w:p w14:paraId="50D79405" w14:textId="7893364A" w:rsidR="0029025C" w:rsidRDefault="0029025C" w:rsidP="00E7201A">
      <w:r>
        <w:t xml:space="preserve">Therefore, </w:t>
      </w:r>
      <w:r w:rsidR="00260F97">
        <w:t xml:space="preserve">there is an added interruption time in DL </w:t>
      </w:r>
      <w:r w:rsidR="0017633A">
        <w:t>due to the blanketed resources. From the UE point of view, th</w:t>
      </w:r>
      <w:r w:rsidR="000835E2">
        <w:t xml:space="preserve">e interruption time is equal to the difference between </w:t>
      </w:r>
      <w:proofErr w:type="spellStart"/>
      <w:r w:rsidR="000835E2">
        <w:t>t</w:t>
      </w:r>
      <w:r w:rsidR="000835E2" w:rsidRPr="000835E2">
        <w:rPr>
          <w:vertAlign w:val="subscript"/>
        </w:rPr>
        <w:t>diff</w:t>
      </w:r>
      <w:proofErr w:type="spellEnd"/>
      <w:r w:rsidR="000835E2" w:rsidRPr="000835E2">
        <w:rPr>
          <w:vertAlign w:val="subscript"/>
        </w:rPr>
        <w:t xml:space="preserve"> </w:t>
      </w:r>
      <w:r w:rsidR="000835E2">
        <w:t xml:space="preserve">and the downlink transmission gap. And it might be significant depending on the cell size and the uncertainty of </w:t>
      </w:r>
      <w:proofErr w:type="spellStart"/>
      <w:r w:rsidR="000835E2">
        <w:t>t</w:t>
      </w:r>
      <w:r w:rsidR="000835E2" w:rsidRPr="000835E2">
        <w:rPr>
          <w:vertAlign w:val="subscript"/>
        </w:rPr>
        <w:t>diff</w:t>
      </w:r>
      <w:proofErr w:type="spellEnd"/>
      <w:r w:rsidR="000835E2">
        <w:rPr>
          <w:vertAlign w:val="subscript"/>
        </w:rPr>
        <w:t xml:space="preserve"> </w:t>
      </w:r>
      <w:r w:rsidR="000835E2">
        <w:t>when assessed by the network side (the NW does not know the location of all UEs on the cell). So, we propose:</w:t>
      </w:r>
    </w:p>
    <w:p w14:paraId="1D70633E" w14:textId="408587F3" w:rsidR="000835E2" w:rsidRDefault="000835E2" w:rsidP="000835E2">
      <w:pPr>
        <w:pStyle w:val="RAN4proposal"/>
      </w:pPr>
      <w:bookmarkStart w:id="13" w:name="_Toc149937562"/>
      <w:r>
        <w:t>Include in the interruption time for hard satellite switch a component associated to the DL transmission gap.</w:t>
      </w:r>
      <w:bookmarkEnd w:id="13"/>
      <w:r>
        <w:t xml:space="preserve"> </w:t>
      </w:r>
    </w:p>
    <w:p w14:paraId="40DEF719" w14:textId="77777777" w:rsidR="000835E2" w:rsidRPr="000835E2" w:rsidRDefault="000835E2" w:rsidP="000835E2"/>
    <w:p w14:paraId="4587BDF4" w14:textId="77777777" w:rsidR="00157478" w:rsidRDefault="00157478" w:rsidP="00E7201A"/>
    <w:p w14:paraId="7A4DFEFD" w14:textId="77777777" w:rsidR="00C455DD" w:rsidRPr="00344C6D" w:rsidRDefault="00C455DD" w:rsidP="00344C6D"/>
    <w:p w14:paraId="4A313C68" w14:textId="77777777" w:rsidR="008A1EAD" w:rsidRDefault="008A1EAD" w:rsidP="00357A3E">
      <w:pPr>
        <w:keepNext/>
        <w:jc w:val="center"/>
      </w:pPr>
      <w:r>
        <w:rPr>
          <w:noProof/>
        </w:rPr>
        <w:lastRenderedPageBreak/>
        <w:drawing>
          <wp:inline distT="0" distB="0" distL="0" distR="0" wp14:anchorId="6AEED927" wp14:editId="0CE49ED5">
            <wp:extent cx="3938270" cy="3164205"/>
            <wp:effectExtent l="0" t="0" r="5080" b="0"/>
            <wp:docPr id="804596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8270" cy="3164205"/>
                    </a:xfrm>
                    <a:prstGeom prst="rect">
                      <a:avLst/>
                    </a:prstGeom>
                    <a:noFill/>
                  </pic:spPr>
                </pic:pic>
              </a:graphicData>
            </a:graphic>
          </wp:inline>
        </w:drawing>
      </w:r>
    </w:p>
    <w:p w14:paraId="0D79FC93" w14:textId="2326AFD2" w:rsidR="00FD1407" w:rsidRDefault="008A1EAD" w:rsidP="00357A3E">
      <w:pPr>
        <w:pStyle w:val="Caption"/>
      </w:pPr>
      <w:bookmarkStart w:id="14" w:name="_Ref149771662"/>
      <w:r>
        <w:t xml:space="preserve">Figure </w:t>
      </w:r>
      <w:r w:rsidR="007045FB">
        <w:fldChar w:fldCharType="begin"/>
      </w:r>
      <w:r w:rsidR="007045FB">
        <w:instrText xml:space="preserve"> SEQ Figure \* ARABIC </w:instrText>
      </w:r>
      <w:r w:rsidR="007045FB">
        <w:fldChar w:fldCharType="separate"/>
      </w:r>
      <w:r w:rsidR="00157478">
        <w:rPr>
          <w:noProof/>
        </w:rPr>
        <w:t>1</w:t>
      </w:r>
      <w:r w:rsidR="007045FB">
        <w:rPr>
          <w:noProof/>
        </w:rPr>
        <w:fldChar w:fldCharType="end"/>
      </w:r>
      <w:bookmarkEnd w:id="14"/>
      <w:r>
        <w:t>. Discussion on NTN hard satellite switch with same PCI.</w:t>
      </w:r>
    </w:p>
    <w:p w14:paraId="21B79532" w14:textId="77777777" w:rsidR="00157478" w:rsidRDefault="00157478" w:rsidP="00157478"/>
    <w:p w14:paraId="50183222" w14:textId="77777777" w:rsidR="00157478" w:rsidRDefault="00157478" w:rsidP="00157478">
      <w:pPr>
        <w:keepNext/>
      </w:pPr>
      <w:r>
        <w:rPr>
          <w:noProof/>
        </w:rPr>
        <w:drawing>
          <wp:inline distT="0" distB="0" distL="0" distR="0" wp14:anchorId="1F0CC12D" wp14:editId="06578090">
            <wp:extent cx="5838190" cy="1852509"/>
            <wp:effectExtent l="0" t="0" r="0" b="0"/>
            <wp:docPr id="9002176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1864" cy="1860021"/>
                    </a:xfrm>
                    <a:prstGeom prst="rect">
                      <a:avLst/>
                    </a:prstGeom>
                    <a:noFill/>
                  </pic:spPr>
                </pic:pic>
              </a:graphicData>
            </a:graphic>
          </wp:inline>
        </w:drawing>
      </w:r>
    </w:p>
    <w:p w14:paraId="20AC2F4F" w14:textId="21F2A272" w:rsidR="00157478" w:rsidRPr="00157478" w:rsidRDefault="00157478" w:rsidP="00157478">
      <w:pPr>
        <w:pStyle w:val="Caption"/>
        <w:jc w:val="left"/>
      </w:pPr>
      <w:r>
        <w:t xml:space="preserve">Figure </w:t>
      </w:r>
      <w:r w:rsidR="007045FB">
        <w:fldChar w:fldCharType="begin"/>
      </w:r>
      <w:r w:rsidR="007045FB">
        <w:instrText xml:space="preserve"> SEQ Figure \* ARABIC </w:instrText>
      </w:r>
      <w:r w:rsidR="007045FB">
        <w:fldChar w:fldCharType="separate"/>
      </w:r>
      <w:r>
        <w:rPr>
          <w:noProof/>
        </w:rPr>
        <w:t>2</w:t>
      </w:r>
      <w:r w:rsidR="007045FB">
        <w:rPr>
          <w:noProof/>
        </w:rPr>
        <w:fldChar w:fldCharType="end"/>
      </w:r>
      <w:r>
        <w:t xml:space="preserve"> Diagram of the DL slots as transmitted by gNB and as received by UE in the case of hard satellite </w:t>
      </w:r>
      <w:proofErr w:type="gramStart"/>
      <w:r>
        <w:t>switch</w:t>
      </w:r>
      <w:proofErr w:type="gramEnd"/>
    </w:p>
    <w:p w14:paraId="4AB3E6DC" w14:textId="77777777" w:rsidR="008E4F8B" w:rsidRPr="00D22020" w:rsidRDefault="008E4F8B" w:rsidP="008E4F8B">
      <w:pPr>
        <w:pStyle w:val="RAN4proposal"/>
        <w:numPr>
          <w:ilvl w:val="0"/>
          <w:numId w:val="0"/>
        </w:numPr>
      </w:pPr>
    </w:p>
    <w:p w14:paraId="72AC6261" w14:textId="77777777" w:rsidR="008E4F8B" w:rsidRPr="008C39F7" w:rsidRDefault="008E4F8B" w:rsidP="008E4F8B">
      <w:pPr>
        <w:pStyle w:val="RAN4proposal"/>
      </w:pPr>
      <w:bookmarkStart w:id="15" w:name="_Toc149937563"/>
      <w:r>
        <w:t>Separate UL and DL interruption requirements for the case of hard satellite switch with same PCI.</w:t>
      </w:r>
      <w:bookmarkEnd w:id="15"/>
      <w:r>
        <w:t xml:space="preserve"> </w:t>
      </w:r>
    </w:p>
    <w:p w14:paraId="6BE4591C" w14:textId="77777777" w:rsidR="00993130" w:rsidRDefault="00993130" w:rsidP="0048773A"/>
    <w:p w14:paraId="0462FA8C" w14:textId="3FD0EF79" w:rsidR="00427801" w:rsidRDefault="00427801" w:rsidP="00427801">
      <w:pPr>
        <w:pStyle w:val="RAN4H3"/>
      </w:pPr>
      <w:r>
        <w:t>Time and Location Based Conditional Handovers</w:t>
      </w:r>
    </w:p>
    <w:p w14:paraId="0570DBD7" w14:textId="5620D74E" w:rsidR="008115F5" w:rsidRDefault="00427801" w:rsidP="008115F5">
      <w:r>
        <w:t xml:space="preserve">Recently, RAN2 has agreed that time and location </w:t>
      </w:r>
      <w:r w:rsidR="00A13F60">
        <w:t xml:space="preserve">conditional triggers can be configured independently, i.e., without any other radio conditions associated to the trigger. This will require </w:t>
      </w:r>
      <w:r w:rsidR="008115F5">
        <w:t xml:space="preserve">that RAN4 requirements are updated to deal with </w:t>
      </w:r>
      <w:proofErr w:type="gramStart"/>
      <w:r w:rsidR="008115F5">
        <w:t xml:space="preserve">this new </w:t>
      </w:r>
      <w:r w:rsidR="000C483B">
        <w:t>potential</w:t>
      </w:r>
      <w:r w:rsidR="008115F5">
        <w:t xml:space="preserve"> scenarios</w:t>
      </w:r>
      <w:proofErr w:type="gramEnd"/>
      <w:r w:rsidR="008115F5">
        <w:t xml:space="preserve">. </w:t>
      </w:r>
    </w:p>
    <w:tbl>
      <w:tblPr>
        <w:tblStyle w:val="TableGrid"/>
        <w:tblW w:w="0" w:type="auto"/>
        <w:tblLook w:val="04A0" w:firstRow="1" w:lastRow="0" w:firstColumn="1" w:lastColumn="0" w:noHBand="0" w:noVBand="1"/>
      </w:tblPr>
      <w:tblGrid>
        <w:gridCol w:w="9617"/>
      </w:tblGrid>
      <w:tr w:rsidR="0060106E" w14:paraId="3BEDDFA5" w14:textId="77777777" w:rsidTr="0060106E">
        <w:tc>
          <w:tcPr>
            <w:tcW w:w="9617" w:type="dxa"/>
          </w:tcPr>
          <w:p w14:paraId="6210D1C9" w14:textId="77777777" w:rsidR="0060106E" w:rsidRDefault="00950DBF" w:rsidP="008115F5">
            <w:r>
              <w:t>Agreement (RAN2 #123):</w:t>
            </w:r>
          </w:p>
          <w:p w14:paraId="7880535E" w14:textId="77777777" w:rsidR="00AC27F6" w:rsidRDefault="00AC27F6" w:rsidP="00AC27F6">
            <w:r>
              <w:t xml:space="preserve">6. For CHO in NTN (both NR NTN and eMTC NTN, time and location-based trigger conditions may be configured independently (i.e., without a jointly configured measurement condition). We add a description/note saying in which scenarios this is reasonable, </w:t>
            </w:r>
            <w:proofErr w:type="gramStart"/>
            <w:r>
              <w:t>e.g.</w:t>
            </w:r>
            <w:proofErr w:type="gramEnd"/>
            <w:r>
              <w:t xml:space="preserve"> at least hard-switch case where gap is assumed to be zero/negligible</w:t>
            </w:r>
          </w:p>
          <w:p w14:paraId="3F3A5579" w14:textId="031F0CE9" w:rsidR="00950DBF" w:rsidRDefault="00950DBF" w:rsidP="008115F5"/>
        </w:tc>
      </w:tr>
    </w:tbl>
    <w:p w14:paraId="072156BC" w14:textId="77777777" w:rsidR="001A633C" w:rsidRDefault="001A633C" w:rsidP="001A633C">
      <w:pPr>
        <w:pStyle w:val="RAN4proposal"/>
        <w:numPr>
          <w:ilvl w:val="0"/>
          <w:numId w:val="0"/>
        </w:numPr>
      </w:pPr>
    </w:p>
    <w:p w14:paraId="6C434A05" w14:textId="25C63DA7" w:rsidR="001A633C" w:rsidRPr="001A633C" w:rsidRDefault="001A633C" w:rsidP="001A633C">
      <w:r>
        <w:t>The new CHO in the absence of additional radio related triggers</w:t>
      </w:r>
      <w:r w:rsidR="00895D98">
        <w:t xml:space="preserve">, </w:t>
      </w:r>
      <w:r w:rsidR="00E2337C">
        <w:t>might cause a situation where a condition is met (either time or location trigger) for a cell that is not known by the UE (</w:t>
      </w:r>
      <w:proofErr w:type="gramStart"/>
      <w:r w:rsidR="00E2337C">
        <w:t>i.e.</w:t>
      </w:r>
      <w:proofErr w:type="gramEnd"/>
      <w:r w:rsidR="00E2337C">
        <w:t xml:space="preserve"> it has not been measured/detected for the past </w:t>
      </w:r>
      <w:r w:rsidR="00E2337C">
        <w:lastRenderedPageBreak/>
        <w:t>5 seconds). In this case, the interruption time for CHO needs to</w:t>
      </w:r>
      <w:r w:rsidR="00A1157B">
        <w:t xml:space="preserve"> be</w:t>
      </w:r>
      <w:r w:rsidR="00E2337C">
        <w:t xml:space="preserve"> updated to include the </w:t>
      </w:r>
      <w:r w:rsidR="003E4964">
        <w:t>search time in the case of Blind CHO.</w:t>
      </w:r>
    </w:p>
    <w:p w14:paraId="68EC252F" w14:textId="5061696C" w:rsidR="00427801" w:rsidRPr="008C39F7" w:rsidRDefault="008115F5" w:rsidP="00AC27F6">
      <w:pPr>
        <w:pStyle w:val="RAN4proposal"/>
      </w:pPr>
      <w:r>
        <w:t xml:space="preserve"> </w:t>
      </w:r>
      <w:bookmarkStart w:id="16" w:name="_Toc149937564"/>
      <w:r w:rsidR="00E86372">
        <w:t xml:space="preserve">Update CHO requirements for location and </w:t>
      </w:r>
      <w:proofErr w:type="gramStart"/>
      <w:r w:rsidR="00E86372">
        <w:t>time based</w:t>
      </w:r>
      <w:proofErr w:type="gramEnd"/>
      <w:r w:rsidR="00E86372">
        <w:t xml:space="preserve"> CHO triggers (independent of radio measurements) to introduce a component for the UE to search the target cell in the case of blind CHO.</w:t>
      </w:r>
      <w:bookmarkEnd w:id="16"/>
    </w:p>
    <w:p w14:paraId="178F717B" w14:textId="77777777" w:rsidR="00CD7492" w:rsidRPr="008C39F7" w:rsidRDefault="00CD7492" w:rsidP="00A37002">
      <w:pPr>
        <w:pStyle w:val="RAN4H1"/>
      </w:pPr>
      <w:bookmarkStart w:id="17" w:name="_Toc116995848"/>
      <w:r w:rsidRPr="008C39F7">
        <w:t>Conclusion</w:t>
      </w:r>
      <w:bookmarkEnd w:id="17"/>
    </w:p>
    <w:p w14:paraId="75012FC1" w14:textId="30F35B32" w:rsidR="008B0961" w:rsidRDefault="00E806DF" w:rsidP="005C23A4">
      <w:r>
        <w:t xml:space="preserve">In this paper we have analyzed the mobility enhancements for </w:t>
      </w:r>
      <w:proofErr w:type="gramStart"/>
      <w:r>
        <w:t>NTN UEs, and</w:t>
      </w:r>
      <w:proofErr w:type="gramEnd"/>
      <w:r>
        <w:t xml:space="preserve"> have discussed the impact of such enhancements in RRM requirements. Based on this discussion, we make the following set of observations and proposals:</w:t>
      </w:r>
    </w:p>
    <w:p w14:paraId="627D250A" w14:textId="508E0E83" w:rsidR="00736A63" w:rsidRDefault="00EF3DBE">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9937554" w:history="1">
        <w:r w:rsidR="00736A63" w:rsidRPr="00E9771F">
          <w:rPr>
            <w:rStyle w:val="Hyperlink"/>
          </w:rPr>
          <w:t>Proposal 1: For the NTN to TN Cell Reselection Requirements, re-use the same requirements for inter-frequency cell reselection (T</w:t>
        </w:r>
        <w:r w:rsidR="00736A63" w:rsidRPr="00E9771F">
          <w:rPr>
            <w:rStyle w:val="Hyperlink"/>
            <w:vertAlign w:val="subscript"/>
          </w:rPr>
          <w:t>measure</w:t>
        </w:r>
        <w:r w:rsidR="00736A63" w:rsidRPr="00E9771F">
          <w:rPr>
            <w:rStyle w:val="Hyperlink"/>
          </w:rPr>
          <w:t>, T</w:t>
        </w:r>
        <w:r w:rsidR="00736A63" w:rsidRPr="00E9771F">
          <w:rPr>
            <w:rStyle w:val="Hyperlink"/>
            <w:vertAlign w:val="subscript"/>
          </w:rPr>
          <w:t>detect</w:t>
        </w:r>
        <w:r w:rsidR="00736A63" w:rsidRPr="00E9771F">
          <w:rPr>
            <w:rStyle w:val="Hyperlink"/>
          </w:rPr>
          <w:t>, T</w:t>
        </w:r>
        <w:r w:rsidR="00736A63" w:rsidRPr="00E9771F">
          <w:rPr>
            <w:rStyle w:val="Hyperlink"/>
            <w:vertAlign w:val="subscript"/>
          </w:rPr>
          <w:t>measure</w:t>
        </w:r>
        <w:r w:rsidR="00736A63" w:rsidRPr="00E9771F">
          <w:rPr>
            <w:rStyle w:val="Hyperlink"/>
          </w:rPr>
          <w:t>) used for NTN to NTN, with K_multi_SMTC =1.</w:t>
        </w:r>
      </w:hyperlink>
    </w:p>
    <w:p w14:paraId="7602D57C" w14:textId="58532E6B"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55" w:history="1">
        <w:r w:rsidRPr="00E9771F">
          <w:rPr>
            <w:rStyle w:val="Hyperlink"/>
          </w:rPr>
          <w:t>Proposal 2: Capture in specification that “When the UE is configured to measure a frequency layer associated to terrestrial cells, the measurement requirements are not applicable when the UE is provided with information about the TN coverage area and the UE is outsie the coverage area”.</w:t>
        </w:r>
      </w:hyperlink>
    </w:p>
    <w:p w14:paraId="65C4E29E" w14:textId="54E9F398"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56" w:history="1">
        <w:r w:rsidRPr="00E9771F">
          <w:rPr>
            <w:rStyle w:val="Hyperlink"/>
          </w:rPr>
          <w:t>Proposal 3: Capture in TS 38.133 the cell reselection from NR NTN to EUTRA TN.</w:t>
        </w:r>
      </w:hyperlink>
    </w:p>
    <w:p w14:paraId="4D36A8E1" w14:textId="7544B35B"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57" w:history="1">
        <w:r w:rsidRPr="00E9771F">
          <w:rPr>
            <w:rStyle w:val="Hyperlink"/>
          </w:rPr>
          <w:t>Proposal 4: Do not provide enhancements for the TN cell reselection to account for mismatch between the TN coverage area configured by the Network and the real coverage area.</w:t>
        </w:r>
      </w:hyperlink>
    </w:p>
    <w:p w14:paraId="44F9A5A4" w14:textId="3DDFF72D"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58" w:history="1">
        <w:r w:rsidRPr="00E9771F">
          <w:rPr>
            <w:rStyle w:val="Hyperlink"/>
          </w:rPr>
          <w:t>Observation 1: For hard-switch the UL switch time and the DL switch time at the UE are different.</w:t>
        </w:r>
      </w:hyperlink>
    </w:p>
    <w:p w14:paraId="38545F9E" w14:textId="11048977" w:rsidR="00736A63" w:rsidRDefault="00736A63">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7559" w:history="1">
        <w:r w:rsidRPr="00E9771F">
          <w:rPr>
            <w:rStyle w:val="Hyperlink"/>
          </w:rPr>
          <w:t>a.</w:t>
        </w:r>
        <w:r>
          <w:rPr>
            <w:rFonts w:asciiTheme="minorHAnsi" w:eastAsiaTheme="minorEastAsia" w:hAnsiTheme="minorHAnsi"/>
            <w:b w:val="0"/>
            <w:iCs w:val="0"/>
            <w:kern w:val="2"/>
            <w:sz w:val="22"/>
            <w:lang w:val="en-GB" w:eastAsia="en-GB"/>
            <w14:ligatures w14:val="standardContextual"/>
          </w:rPr>
          <w:tab/>
        </w:r>
        <w:r w:rsidRPr="00E9771F">
          <w:rPr>
            <w:rStyle w:val="Hyperlink"/>
          </w:rPr>
          <w:t>UL information sent by UE toward source satellite is unreachable from t</w:t>
        </w:r>
        <w:r w:rsidRPr="00E9771F">
          <w:rPr>
            <w:rStyle w:val="Hyperlink"/>
            <w:vertAlign w:val="subscript"/>
          </w:rPr>
          <w:t xml:space="preserve">ue_ul_switch </w:t>
        </w:r>
        <w:r w:rsidRPr="00E9771F">
          <w:rPr>
            <w:rStyle w:val="Hyperlink"/>
          </w:rPr>
          <w:t>= t-service – feeder link propagation delay</w:t>
        </w:r>
      </w:hyperlink>
    </w:p>
    <w:p w14:paraId="17E4FE7A" w14:textId="6CBBEC8D" w:rsidR="00736A63" w:rsidRDefault="00736A63">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7560" w:history="1">
        <w:r w:rsidRPr="00E9771F">
          <w:rPr>
            <w:rStyle w:val="Hyperlink"/>
          </w:rPr>
          <w:t>b.</w:t>
        </w:r>
        <w:r>
          <w:rPr>
            <w:rFonts w:asciiTheme="minorHAnsi" w:eastAsiaTheme="minorEastAsia" w:hAnsiTheme="minorHAnsi"/>
            <w:b w:val="0"/>
            <w:iCs w:val="0"/>
            <w:kern w:val="2"/>
            <w:sz w:val="22"/>
            <w:lang w:val="en-GB" w:eastAsia="en-GB"/>
            <w14:ligatures w14:val="standardContextual"/>
          </w:rPr>
          <w:tab/>
        </w:r>
        <w:r w:rsidRPr="00E9771F">
          <w:rPr>
            <w:rStyle w:val="Hyperlink"/>
          </w:rPr>
          <w:t>DL switch time occurs at t</w:t>
        </w:r>
        <w:r w:rsidRPr="00E9771F">
          <w:rPr>
            <w:rStyle w:val="Hyperlink"/>
            <w:vertAlign w:val="subscript"/>
          </w:rPr>
          <w:t xml:space="preserve">ue_dl_switch </w:t>
        </w:r>
        <w:r w:rsidRPr="00E9771F">
          <w:rPr>
            <w:rStyle w:val="Hyperlink"/>
          </w:rPr>
          <w:t>= t-service + feeder link propagation delay</w:t>
        </w:r>
      </w:hyperlink>
    </w:p>
    <w:p w14:paraId="47034C23" w14:textId="337466EC"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61" w:history="1">
        <w:r w:rsidRPr="00E9771F">
          <w:rPr>
            <w:rStyle w:val="Hyperlink"/>
            <w:rFonts w:cs="Arial"/>
          </w:rPr>
          <w:t>Proposal 5:</w:t>
        </w:r>
        <w:r w:rsidRPr="00E9771F">
          <w:rPr>
            <w:rStyle w:val="Hyperlink"/>
          </w:rPr>
          <w:t xml:space="preserve"> In the case of hard satellite switch with same PCI, a scheduling restriction applies to UEs that do not support </w:t>
        </w:r>
        <w:r w:rsidRPr="00E9771F">
          <w:rPr>
            <w:rStyle w:val="Hyperlink"/>
            <w:rFonts w:ascii="Arial" w:hAnsi="Arial" w:cs="Arial"/>
            <w:bCs/>
            <w:i/>
          </w:rPr>
          <w:t xml:space="preserve">parallelMeasurementWithoutRestriction-r17 </w:t>
        </w:r>
        <w:r w:rsidRPr="00E9771F">
          <w:rPr>
            <w:rStyle w:val="Hyperlink"/>
            <w:rFonts w:ascii="Arial" w:hAnsi="Arial" w:cs="Arial"/>
          </w:rPr>
          <w:t>starting at the UL slot to be transmitted at t</w:t>
        </w:r>
        <w:r w:rsidRPr="00E9771F">
          <w:rPr>
            <w:rStyle w:val="Hyperlink"/>
            <w:rFonts w:ascii="Arial" w:hAnsi="Arial" w:cs="Arial"/>
            <w:vertAlign w:val="subscript"/>
          </w:rPr>
          <w:t xml:space="preserve">ue_ul_switch </w:t>
        </w:r>
        <w:r w:rsidRPr="00E9771F">
          <w:rPr>
            <w:rStyle w:val="Hyperlink"/>
            <w:rFonts w:ascii="Arial" w:hAnsi="Arial" w:cs="Arial"/>
          </w:rPr>
          <w:t>= t-service – common delay.</w:t>
        </w:r>
      </w:hyperlink>
    </w:p>
    <w:p w14:paraId="648CAEEF" w14:textId="10A5F68F"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62" w:history="1">
        <w:r w:rsidRPr="00E9771F">
          <w:rPr>
            <w:rStyle w:val="Hyperlink"/>
          </w:rPr>
          <w:t>Proposal 6: Include in the interruption time for hard satellite switch a component associated to the DL transmission gap.</w:t>
        </w:r>
      </w:hyperlink>
    </w:p>
    <w:p w14:paraId="041FE6F6" w14:textId="28F809FC"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63" w:history="1">
        <w:r w:rsidRPr="00E9771F">
          <w:rPr>
            <w:rStyle w:val="Hyperlink"/>
          </w:rPr>
          <w:t>Proposal 7: Separate UL and DL interruption requirements for the case of hard satellite switch with same PCI.</w:t>
        </w:r>
      </w:hyperlink>
    </w:p>
    <w:p w14:paraId="56EC2091" w14:textId="7D8D4006" w:rsidR="00736A63" w:rsidRDefault="00736A63">
      <w:pPr>
        <w:pStyle w:val="TOC1"/>
        <w:rPr>
          <w:rFonts w:asciiTheme="minorHAnsi" w:eastAsiaTheme="minorEastAsia" w:hAnsiTheme="minorHAnsi"/>
          <w:b w:val="0"/>
          <w:iCs w:val="0"/>
          <w:kern w:val="2"/>
          <w:sz w:val="22"/>
          <w:lang w:val="en-GB" w:eastAsia="en-GB"/>
          <w14:ligatures w14:val="standardContextual"/>
        </w:rPr>
      </w:pPr>
      <w:hyperlink w:anchor="_Toc149937564" w:history="1">
        <w:r w:rsidRPr="00E9771F">
          <w:rPr>
            <w:rStyle w:val="Hyperlink"/>
          </w:rPr>
          <w:t>Proposal 8: Update CHO requirements for location and time based CHO triggers (independent of radio measurements) to introduce a component for the UE to search the target cell in the case of blind CHO.</w:t>
        </w:r>
      </w:hyperlink>
    </w:p>
    <w:p w14:paraId="70CE908E" w14:textId="3BAA332B" w:rsidR="00E806DF" w:rsidRPr="008C39F7" w:rsidRDefault="00EF3DBE" w:rsidP="005C23A4">
      <w:r>
        <w:fldChar w:fldCharType="end"/>
      </w:r>
    </w:p>
    <w:p w14:paraId="3215B7A1" w14:textId="64FFDAD6" w:rsidR="00847264" w:rsidRPr="008C39F7" w:rsidRDefault="00847264" w:rsidP="008C39F7">
      <w:bookmarkStart w:id="18" w:name="_Toc116995849"/>
    </w:p>
    <w:p w14:paraId="06325D94" w14:textId="77777777" w:rsidR="003B659E" w:rsidRPr="008C39F7" w:rsidRDefault="003B659E" w:rsidP="0060543D">
      <w:pPr>
        <w:pStyle w:val="RAN4H1"/>
        <w:numPr>
          <w:ilvl w:val="0"/>
          <w:numId w:val="0"/>
        </w:numPr>
        <w:ind w:left="360" w:hanging="360"/>
      </w:pPr>
      <w:r w:rsidRPr="008C39F7">
        <w:t>References</w:t>
      </w:r>
      <w:bookmarkEnd w:id="18"/>
    </w:p>
    <w:p w14:paraId="1A853C1E"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19" w:name="_Ref114500673"/>
      <w:bookmarkStart w:id="20" w:name="_Ref54013899"/>
      <w:bookmarkStart w:id="21" w:name="_Ref141960737"/>
      <w:bookmarkEnd w:id="19"/>
      <w:r w:rsidRPr="00FD51CE">
        <w:t>RP-223534</w:t>
      </w:r>
      <w:r w:rsidRPr="00FF6B64">
        <w:t xml:space="preserve">, </w:t>
      </w:r>
      <w:bookmarkEnd w:id="20"/>
      <w:r w:rsidRPr="001D7FDE">
        <w:t>NR NTN (Non-Terrestrial Networks) enhancements</w:t>
      </w:r>
      <w:r>
        <w:t>, Thales</w:t>
      </w:r>
      <w:bookmarkEnd w:id="21"/>
    </w:p>
    <w:p w14:paraId="0CD08FFD" w14:textId="77777777" w:rsidR="00AD1383" w:rsidRDefault="00AD1383" w:rsidP="00AD1383">
      <w:pPr>
        <w:numPr>
          <w:ilvl w:val="0"/>
          <w:numId w:val="21"/>
        </w:numPr>
        <w:overflowPunct w:val="0"/>
        <w:autoSpaceDE w:val="0"/>
        <w:autoSpaceDN w:val="0"/>
        <w:adjustRightInd w:val="0"/>
        <w:spacing w:after="0" w:line="240" w:lineRule="auto"/>
        <w:jc w:val="both"/>
        <w:textAlignment w:val="baseline"/>
      </w:pPr>
      <w:bookmarkStart w:id="22" w:name="_Ref146534405"/>
      <w:bookmarkStart w:id="23" w:name="_Ref134708583"/>
      <w:r w:rsidRPr="00280B89">
        <w:t>R4-2314447</w:t>
      </w:r>
      <w:r>
        <w:t xml:space="preserve">, </w:t>
      </w:r>
      <w:r w:rsidRPr="00280B89">
        <w:rPr>
          <w:i/>
          <w:iCs/>
        </w:rPr>
        <w:t>“WF on R18 NR NTN RRM requirements</w:t>
      </w:r>
      <w:r>
        <w:rPr>
          <w:i/>
          <w:iCs/>
        </w:rPr>
        <w:t>”</w:t>
      </w:r>
      <w:r>
        <w:t xml:space="preserve">, Qualcomm Incorporated, 3GPP WG RAN4 #107, </w:t>
      </w:r>
      <w:r w:rsidRPr="00280B89">
        <w:t>Toulouse, France, August 21 – 25, 2023</w:t>
      </w:r>
      <w:bookmarkEnd w:id="22"/>
    </w:p>
    <w:p w14:paraId="72A88F4B"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r w:rsidRPr="00D71116">
        <w:t>R4-2302998</w:t>
      </w:r>
      <w:r w:rsidRPr="00FF6B64">
        <w:t xml:space="preserve">, </w:t>
      </w:r>
      <w:r w:rsidRPr="00D71116">
        <w:rPr>
          <w:i/>
          <w:iCs/>
        </w:rPr>
        <w:t>WF for system parameters of above 10 GHz NTN band</w:t>
      </w:r>
      <w:r>
        <w:t>, Thales (Moderator)</w:t>
      </w:r>
      <w:bookmarkEnd w:id="23"/>
    </w:p>
    <w:p w14:paraId="478E22BD"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24" w:name="_Ref141279468"/>
      <w:r w:rsidRPr="008863ED">
        <w:t>R4-2306169</w:t>
      </w:r>
      <w:r>
        <w:t xml:space="preserve">, </w:t>
      </w:r>
      <w:r w:rsidRPr="00C07B05">
        <w:rPr>
          <w:i/>
          <w:iCs/>
        </w:rPr>
        <w:t>WF on NR NTN enhancements RRM requirements</w:t>
      </w:r>
      <w:r>
        <w:t>, Qualcomm Incorporated, 3GPP WG RAN4#106-bis, electronic meeting</w:t>
      </w:r>
      <w:bookmarkEnd w:id="24"/>
    </w:p>
    <w:p w14:paraId="3B34F328" w14:textId="77777777" w:rsidR="00652F00" w:rsidRDefault="00652F00" w:rsidP="00652F00">
      <w:pPr>
        <w:numPr>
          <w:ilvl w:val="0"/>
          <w:numId w:val="21"/>
        </w:numPr>
        <w:overflowPunct w:val="0"/>
        <w:autoSpaceDE w:val="0"/>
        <w:autoSpaceDN w:val="0"/>
        <w:adjustRightInd w:val="0"/>
        <w:spacing w:after="0" w:line="240" w:lineRule="auto"/>
        <w:jc w:val="both"/>
        <w:textAlignment w:val="baseline"/>
      </w:pPr>
      <w:bookmarkStart w:id="25" w:name="_Ref149681127"/>
      <w:r w:rsidRPr="00757977">
        <w:t>R4-2317374</w:t>
      </w:r>
      <w:r>
        <w:t xml:space="preserve">, </w:t>
      </w:r>
      <w:r w:rsidRPr="00757977">
        <w:rPr>
          <w:i/>
          <w:iCs/>
        </w:rPr>
        <w:t xml:space="preserve">“RRM WF and CR work split for </w:t>
      </w:r>
      <w:proofErr w:type="spellStart"/>
      <w:r w:rsidRPr="00757977">
        <w:rPr>
          <w:i/>
          <w:iCs/>
        </w:rPr>
        <w:t>NR_NTN_enh</w:t>
      </w:r>
      <w:proofErr w:type="spellEnd"/>
      <w:r w:rsidRPr="00757977">
        <w:rPr>
          <w:i/>
          <w:iCs/>
        </w:rPr>
        <w:t xml:space="preserve">”, </w:t>
      </w:r>
      <w:r>
        <w:t>Qualcomm Incorporated, 3GPP WG RAN4 #108bis, Xiamen, China.</w:t>
      </w:r>
      <w:bookmarkEnd w:id="25"/>
      <w:r>
        <w:t xml:space="preserve"> </w:t>
      </w:r>
    </w:p>
    <w:p w14:paraId="1030CCFE" w14:textId="77777777" w:rsidR="00652F00" w:rsidRDefault="00652F00" w:rsidP="000835E2">
      <w:pPr>
        <w:overflowPunct w:val="0"/>
        <w:autoSpaceDE w:val="0"/>
        <w:autoSpaceDN w:val="0"/>
        <w:adjustRightInd w:val="0"/>
        <w:spacing w:after="0" w:line="240" w:lineRule="auto"/>
        <w:ind w:left="720"/>
        <w:jc w:val="both"/>
        <w:textAlignment w:val="baseline"/>
      </w:pPr>
    </w:p>
    <w:p w14:paraId="148C907D" w14:textId="68AEF1F5" w:rsidR="000040DC" w:rsidRDefault="000040DC" w:rsidP="00EF3DBE">
      <w:pPr>
        <w:pStyle w:val="ListParagraph"/>
        <w:ind w:right="-22"/>
      </w:pPr>
    </w:p>
    <w:p w14:paraId="30C033E7" w14:textId="77777777" w:rsidR="000835E2" w:rsidRDefault="000835E2" w:rsidP="00EF3DBE">
      <w:pPr>
        <w:pStyle w:val="ListParagraph"/>
        <w:ind w:right="-22"/>
      </w:pPr>
    </w:p>
    <w:p w14:paraId="4E1ACF0C" w14:textId="77777777" w:rsidR="000835E2" w:rsidRDefault="000835E2" w:rsidP="00EF3DBE">
      <w:pPr>
        <w:pStyle w:val="ListParagraph"/>
        <w:ind w:right="-22"/>
      </w:pPr>
    </w:p>
    <w:p w14:paraId="2C433BAE" w14:textId="77777777" w:rsidR="000835E2" w:rsidRDefault="000835E2" w:rsidP="00EF3DBE">
      <w:pPr>
        <w:pStyle w:val="ListParagraph"/>
        <w:ind w:right="-22"/>
      </w:pPr>
    </w:p>
    <w:p w14:paraId="3411D26D" w14:textId="77777777" w:rsidR="000835E2" w:rsidRPr="008C39F7" w:rsidRDefault="000835E2" w:rsidP="000835E2"/>
    <w:p w14:paraId="2AC2820E" w14:textId="0A71B5BA" w:rsidR="000835E2" w:rsidRPr="008C39F7" w:rsidRDefault="000835E2" w:rsidP="000835E2">
      <w:pPr>
        <w:pStyle w:val="RAN4H1"/>
        <w:numPr>
          <w:ilvl w:val="0"/>
          <w:numId w:val="0"/>
        </w:numPr>
        <w:ind w:left="360" w:hanging="360"/>
      </w:pPr>
      <w:r>
        <w:lastRenderedPageBreak/>
        <w:t>Annex</w:t>
      </w:r>
    </w:p>
    <w:p w14:paraId="284EA9AC" w14:textId="77777777" w:rsidR="000835E2" w:rsidRDefault="000835E2" w:rsidP="00EF3DBE">
      <w:pPr>
        <w:pStyle w:val="ListParagraph"/>
        <w:ind w:right="-22"/>
      </w:pPr>
    </w:p>
    <w:p w14:paraId="7FF97A65" w14:textId="77777777" w:rsidR="000835E2" w:rsidRDefault="000835E2" w:rsidP="00EF3DBE">
      <w:pPr>
        <w:pStyle w:val="ListParagraph"/>
        <w:ind w:right="-22"/>
      </w:pPr>
    </w:p>
    <w:p w14:paraId="57EE7D6B" w14:textId="77777777" w:rsidR="000835E2" w:rsidRDefault="000835E2" w:rsidP="000835E2">
      <w:r>
        <w:t>During the HARD PCI switch with same PCI, the serving satellite switches, but the PCI is maintained,  which means the procedures in the higher layers is maintained. In this case, at some point, the UE will stop transmitting towards one satellite and start transmission toward the other satellite. This indicates a sudden transition in timing advance.  RAN2 has indicated that this is a possible scenario, and the UE needs to know how to deal with the timing advance:</w:t>
      </w:r>
    </w:p>
    <w:tbl>
      <w:tblPr>
        <w:tblStyle w:val="TableGrid"/>
        <w:tblW w:w="0" w:type="auto"/>
        <w:tblLook w:val="04A0" w:firstRow="1" w:lastRow="0" w:firstColumn="1" w:lastColumn="0" w:noHBand="0" w:noVBand="1"/>
      </w:tblPr>
      <w:tblGrid>
        <w:gridCol w:w="9617"/>
      </w:tblGrid>
      <w:tr w:rsidR="000835E2" w14:paraId="7192BA64" w14:textId="77777777" w:rsidTr="00B65118">
        <w:tc>
          <w:tcPr>
            <w:tcW w:w="9617" w:type="dxa"/>
          </w:tcPr>
          <w:p w14:paraId="734E475D" w14:textId="77777777" w:rsidR="000835E2" w:rsidRDefault="000835E2" w:rsidP="00B65118">
            <w:r>
              <w:t>RAN2 agreement from RAN2 #122:</w:t>
            </w:r>
          </w:p>
          <w:p w14:paraId="1D149E4B" w14:textId="77777777" w:rsidR="000835E2" w:rsidRDefault="000835E2" w:rsidP="00B65118"/>
          <w:p w14:paraId="3B095F1D" w14:textId="77777777" w:rsidR="000835E2" w:rsidRDefault="000835E2" w:rsidP="00B65118">
            <w:r w:rsidRPr="00280C0B">
              <w:rPr>
                <w:lang w:val="en-GB"/>
              </w:rPr>
              <w:t>-&gt;</w:t>
            </w:r>
            <w:r w:rsidRPr="00280C0B">
              <w:rPr>
                <w:lang w:val="en-GB"/>
              </w:rPr>
              <w:tab/>
              <w:t>In hard switch unchanged PCI scenario (</w:t>
            </w:r>
            <w:proofErr w:type="gramStart"/>
            <w:r w:rsidRPr="00280C0B">
              <w:rPr>
                <w:lang w:val="en-GB"/>
              </w:rPr>
              <w:t>i.e.</w:t>
            </w:r>
            <w:proofErr w:type="gramEnd"/>
            <w:r w:rsidRPr="00280C0B">
              <w:rPr>
                <w:lang w:val="en-GB"/>
              </w:rPr>
              <w:t xml:space="preserve"> no handover), the UE needs to know the time the UE attempts to re-synchronize. (FFS whether a new “t-Start” / a t-gap is needed or whether t-Service can be reused (</w:t>
            </w:r>
            <w:proofErr w:type="gramStart"/>
            <w:r w:rsidRPr="00280C0B">
              <w:rPr>
                <w:lang w:val="en-GB"/>
              </w:rPr>
              <w:t>i.e.</w:t>
            </w:r>
            <w:proofErr w:type="gramEnd"/>
            <w:r w:rsidRPr="00280C0B">
              <w:rPr>
                <w:lang w:val="en-GB"/>
              </w:rPr>
              <w:t xml:space="preserve"> no other IE) if the gap is very short/zero).</w:t>
            </w:r>
          </w:p>
        </w:tc>
      </w:tr>
    </w:tbl>
    <w:p w14:paraId="25058CE2" w14:textId="77777777" w:rsidR="000835E2" w:rsidRPr="008C39F7" w:rsidRDefault="000835E2" w:rsidP="000835E2">
      <w:r>
        <w:t xml:space="preserve"> </w:t>
      </w:r>
    </w:p>
    <w:p w14:paraId="60FA8BFF" w14:textId="77777777" w:rsidR="000835E2" w:rsidRDefault="000835E2" w:rsidP="000835E2">
      <w:r>
        <w:t xml:space="preserve">There is one further issue, that is caused by the fact that the </w:t>
      </w:r>
      <w:proofErr w:type="gramStart"/>
      <w:r>
        <w:t>hard-switch</w:t>
      </w:r>
      <w:proofErr w:type="gramEnd"/>
      <w:r>
        <w:t xml:space="preserve"> is associated to an instant in time, on the satellite reference. This means that if the satellite indicates that the hard-switch will occur at a given time </w:t>
      </w:r>
      <w:proofErr w:type="spellStart"/>
      <w:r w:rsidRPr="00C01BC2">
        <w:rPr>
          <w:b/>
          <w:bCs/>
        </w:rPr>
        <w:t>t</w:t>
      </w:r>
      <w:r w:rsidRPr="00C01BC2">
        <w:rPr>
          <w:b/>
          <w:bCs/>
          <w:vertAlign w:val="subscript"/>
        </w:rPr>
        <w:t>switch</w:t>
      </w:r>
      <w:proofErr w:type="spellEnd"/>
      <w:r>
        <w:t xml:space="preserve"> (configured by t-service, for example), this means that the satellite will cease the transmissions to/from the UE at </w:t>
      </w:r>
      <w:proofErr w:type="spellStart"/>
      <w:r w:rsidRPr="00C01BC2">
        <w:rPr>
          <w:b/>
          <w:bCs/>
        </w:rPr>
        <w:t>t</w:t>
      </w:r>
      <w:r w:rsidRPr="00C01BC2">
        <w:rPr>
          <w:b/>
          <w:bCs/>
          <w:vertAlign w:val="subscript"/>
        </w:rPr>
        <w:t>switch</w:t>
      </w:r>
      <w:proofErr w:type="spellEnd"/>
      <w:r>
        <w:rPr>
          <w:b/>
          <w:bCs/>
          <w:vertAlign w:val="subscript"/>
        </w:rPr>
        <w:t xml:space="preserve">. </w:t>
      </w:r>
      <w:r w:rsidRPr="00A036CA">
        <w:t xml:space="preserve">To understand the issue, observe the Figure 1, </w:t>
      </w:r>
      <w:proofErr w:type="gramStart"/>
      <w:r w:rsidRPr="00A036CA">
        <w:t>where</w:t>
      </w:r>
      <w:proofErr w:type="gramEnd"/>
      <w:r w:rsidRPr="00A036CA">
        <w:t xml:space="preserve"> </w:t>
      </w:r>
    </w:p>
    <w:p w14:paraId="06D9A3EF" w14:textId="77777777" w:rsidR="000835E2" w:rsidRDefault="000835E2" w:rsidP="000835E2">
      <w:pPr>
        <w:pStyle w:val="ListParagraph"/>
        <w:numPr>
          <w:ilvl w:val="0"/>
          <w:numId w:val="29"/>
        </w:numPr>
      </w:pPr>
      <w:r w:rsidRPr="00A036CA">
        <w:t>UL(t</w:t>
      </w:r>
      <w:r>
        <w:t>0</w:t>
      </w:r>
      <w:r w:rsidRPr="00A036CA">
        <w:t>) represents the</w:t>
      </w:r>
      <w:r>
        <w:t xml:space="preserve"> UL slot number transmitted </w:t>
      </w:r>
      <w:r w:rsidRPr="00A0343C">
        <w:rPr>
          <w:b/>
          <w:bCs/>
          <w:u w:val="single"/>
        </w:rPr>
        <w:t>by the UE</w:t>
      </w:r>
      <w:r>
        <w:t xml:space="preserve"> at time </w:t>
      </w:r>
      <w:proofErr w:type="gramStart"/>
      <w:r>
        <w:t>t0;</w:t>
      </w:r>
      <w:proofErr w:type="gramEnd"/>
    </w:p>
    <w:p w14:paraId="6672C9AF" w14:textId="77777777" w:rsidR="000835E2" w:rsidRDefault="000835E2" w:rsidP="000835E2">
      <w:pPr>
        <w:pStyle w:val="ListParagraph"/>
        <w:numPr>
          <w:ilvl w:val="0"/>
          <w:numId w:val="29"/>
        </w:numPr>
      </w:pPr>
      <w:r>
        <w:t xml:space="preserve"> likewise, DL(t0) represents the DL slot number transmitted </w:t>
      </w:r>
      <w:r w:rsidRPr="00A0343C">
        <w:rPr>
          <w:b/>
          <w:bCs/>
          <w:u w:val="single"/>
        </w:rPr>
        <w:t>by the gNB</w:t>
      </w:r>
      <w:r>
        <w:t xml:space="preserve"> at time t0. </w:t>
      </w:r>
    </w:p>
    <w:p w14:paraId="5CB031D0" w14:textId="77777777" w:rsidR="000835E2" w:rsidRDefault="000835E2" w:rsidP="000835E2">
      <w:pPr>
        <w:pStyle w:val="ListParagraph"/>
        <w:numPr>
          <w:ilvl w:val="0"/>
          <w:numId w:val="29"/>
        </w:numPr>
      </w:pPr>
      <w:r>
        <w:t xml:space="preserve">t0 is a point in time prior to the switch. </w:t>
      </w:r>
    </w:p>
    <w:p w14:paraId="6E73E056" w14:textId="77777777" w:rsidR="000835E2" w:rsidRDefault="000835E2" w:rsidP="000835E2">
      <w:pPr>
        <w:keepNext/>
      </w:pPr>
      <w:r>
        <w:rPr>
          <w:noProof/>
        </w:rPr>
        <w:drawing>
          <wp:inline distT="0" distB="0" distL="0" distR="0" wp14:anchorId="470B8CDF" wp14:editId="21283156">
            <wp:extent cx="4688205" cy="2877820"/>
            <wp:effectExtent l="0" t="0" r="0" b="0"/>
            <wp:docPr id="281235562" name="Picture 28123556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35562" name="Picture 281235562"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8205" cy="2877820"/>
                    </a:xfrm>
                    <a:prstGeom prst="rect">
                      <a:avLst/>
                    </a:prstGeom>
                    <a:noFill/>
                  </pic:spPr>
                </pic:pic>
              </a:graphicData>
            </a:graphic>
          </wp:inline>
        </w:drawing>
      </w:r>
    </w:p>
    <w:p w14:paraId="6E723308" w14:textId="77777777" w:rsidR="000835E2" w:rsidRDefault="000835E2" w:rsidP="000835E2">
      <w:pPr>
        <w:pStyle w:val="Caption"/>
        <w:jc w:val="left"/>
      </w:pPr>
      <w:r>
        <w:t xml:space="preserve">Figure </w:t>
      </w:r>
      <w:r w:rsidR="007045FB">
        <w:fldChar w:fldCharType="begin"/>
      </w:r>
      <w:r w:rsidR="007045FB">
        <w:instrText xml:space="preserve"> SEQ Figure \* ARABIC </w:instrText>
      </w:r>
      <w:r w:rsidR="007045FB">
        <w:fldChar w:fldCharType="separate"/>
      </w:r>
      <w:r>
        <w:rPr>
          <w:noProof/>
        </w:rPr>
        <w:t>3</w:t>
      </w:r>
      <w:r w:rsidR="007045FB">
        <w:rPr>
          <w:noProof/>
        </w:rPr>
        <w:fldChar w:fldCharType="end"/>
      </w:r>
      <w:r>
        <w:t>. UL and DL reference times at reference time t0 prior to the switch</w:t>
      </w:r>
    </w:p>
    <w:p w14:paraId="2E1CBA69" w14:textId="77777777" w:rsidR="000835E2" w:rsidRDefault="000835E2" w:rsidP="000835E2">
      <w:r>
        <w:t xml:space="preserve">Figure 2 shows what happens when </w:t>
      </w:r>
      <w:proofErr w:type="spellStart"/>
      <w:r w:rsidRPr="00C01BC2">
        <w:rPr>
          <w:b/>
          <w:bCs/>
        </w:rPr>
        <w:t>t</w:t>
      </w:r>
      <w:r w:rsidRPr="00C01BC2">
        <w:rPr>
          <w:b/>
          <w:bCs/>
          <w:vertAlign w:val="subscript"/>
        </w:rPr>
        <w:t>switch</w:t>
      </w:r>
      <w:proofErr w:type="spellEnd"/>
      <w:r>
        <w:rPr>
          <w:b/>
          <w:bCs/>
          <w:vertAlign w:val="subscript"/>
        </w:rPr>
        <w:t xml:space="preserve"> </w:t>
      </w:r>
      <w:r>
        <w:t xml:space="preserve">is achieved and the satellite cease its transmissions to handover the PCI to a different satellite (hard switch). </w:t>
      </w:r>
      <w:r w:rsidRPr="008821D5">
        <w:t xml:space="preserve">However, </w:t>
      </w:r>
      <w:r>
        <w:t xml:space="preserve">the delays in NTN are in the order of several slots. </w:t>
      </w:r>
      <w:proofErr w:type="gramStart"/>
      <w:r>
        <w:t>So</w:t>
      </w:r>
      <w:proofErr w:type="gramEnd"/>
      <w:r>
        <w:t xml:space="preserve"> when </w:t>
      </w:r>
      <w:proofErr w:type="spellStart"/>
      <w:r w:rsidRPr="00C01BC2">
        <w:rPr>
          <w:b/>
          <w:bCs/>
        </w:rPr>
        <w:t>t</w:t>
      </w:r>
      <w:r w:rsidRPr="00C01BC2">
        <w:rPr>
          <w:b/>
          <w:bCs/>
          <w:vertAlign w:val="subscript"/>
        </w:rPr>
        <w:t>switch</w:t>
      </w:r>
      <w:proofErr w:type="spellEnd"/>
      <w:r>
        <w:rPr>
          <w:b/>
          <w:bCs/>
          <w:vertAlign w:val="subscript"/>
        </w:rPr>
        <w:t xml:space="preserve"> </w:t>
      </w:r>
      <w:r>
        <w:t xml:space="preserve">happens, note that from the point that the satellite ceases its transmissions, it can no longer receive UE information in UL and it can no longer transmit in the DL towards the UE. </w:t>
      </w:r>
    </w:p>
    <w:p w14:paraId="1F281567" w14:textId="77777777" w:rsidR="000835E2" w:rsidRDefault="000835E2" w:rsidP="000835E2">
      <w:pPr>
        <w:pStyle w:val="ListParagraph"/>
      </w:pPr>
    </w:p>
    <w:p w14:paraId="5FC9E04A" w14:textId="77777777" w:rsidR="000835E2" w:rsidRDefault="000835E2" w:rsidP="000835E2">
      <w:pPr>
        <w:keepNext/>
      </w:pPr>
      <w:r>
        <w:rPr>
          <w:noProof/>
        </w:rPr>
        <w:lastRenderedPageBreak/>
        <w:drawing>
          <wp:inline distT="0" distB="0" distL="0" distR="0" wp14:anchorId="1DF9806B" wp14:editId="07C049FD">
            <wp:extent cx="4895215" cy="3164205"/>
            <wp:effectExtent l="0" t="0" r="635" b="0"/>
            <wp:docPr id="1004530804" name="Picture 100453080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30804" name="Picture 1004530804" descr="A screen 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5215" cy="3164205"/>
                    </a:xfrm>
                    <a:prstGeom prst="rect">
                      <a:avLst/>
                    </a:prstGeom>
                    <a:noFill/>
                  </pic:spPr>
                </pic:pic>
              </a:graphicData>
            </a:graphic>
          </wp:inline>
        </w:drawing>
      </w:r>
    </w:p>
    <w:p w14:paraId="5EAE68D9" w14:textId="77777777" w:rsidR="000835E2" w:rsidRPr="0092128F" w:rsidRDefault="000835E2" w:rsidP="000835E2">
      <w:pPr>
        <w:pStyle w:val="Caption"/>
        <w:jc w:val="left"/>
        <w:rPr>
          <w:b/>
          <w:bCs/>
        </w:rPr>
      </w:pPr>
      <w:r w:rsidRPr="0092128F">
        <w:rPr>
          <w:b/>
          <w:bCs/>
        </w:rPr>
        <w:t xml:space="preserve">Figure </w:t>
      </w:r>
      <w:r w:rsidRPr="0092128F">
        <w:rPr>
          <w:b/>
          <w:bCs/>
        </w:rPr>
        <w:fldChar w:fldCharType="begin"/>
      </w:r>
      <w:r w:rsidRPr="0092128F">
        <w:rPr>
          <w:b/>
          <w:bCs/>
        </w:rPr>
        <w:instrText xml:space="preserve"> SEQ Figure \* ARABIC </w:instrText>
      </w:r>
      <w:r w:rsidRPr="0092128F">
        <w:rPr>
          <w:b/>
          <w:bCs/>
        </w:rPr>
        <w:fldChar w:fldCharType="separate"/>
      </w:r>
      <w:r>
        <w:rPr>
          <w:b/>
          <w:bCs/>
          <w:noProof/>
        </w:rPr>
        <w:t>4</w:t>
      </w:r>
      <w:r w:rsidRPr="0092128F">
        <w:rPr>
          <w:b/>
          <w:bCs/>
        </w:rPr>
        <w:fldChar w:fldCharType="end"/>
      </w:r>
      <w:r w:rsidRPr="0092128F">
        <w:rPr>
          <w:b/>
          <w:bCs/>
        </w:rPr>
        <w:t xml:space="preserve"> UL and DL reference times at </w:t>
      </w:r>
      <w:proofErr w:type="spellStart"/>
      <w:r w:rsidRPr="0092128F">
        <w:rPr>
          <w:b/>
          <w:bCs/>
        </w:rPr>
        <w:t>t</w:t>
      </w:r>
      <w:r w:rsidRPr="0092128F">
        <w:rPr>
          <w:b/>
          <w:bCs/>
          <w:vertAlign w:val="subscript"/>
        </w:rPr>
        <w:t>switch</w:t>
      </w:r>
      <w:proofErr w:type="spellEnd"/>
    </w:p>
    <w:p w14:paraId="63F9313C" w14:textId="77777777" w:rsidR="000835E2" w:rsidRDefault="000835E2" w:rsidP="000835E2"/>
    <w:p w14:paraId="69E2B3EB" w14:textId="77777777" w:rsidR="000835E2" w:rsidRDefault="000835E2" w:rsidP="000835E2">
      <w:r>
        <w:t xml:space="preserve">Now, </w:t>
      </w:r>
      <w:proofErr w:type="spellStart"/>
      <w:r>
        <w:t>lets</w:t>
      </w:r>
      <w:proofErr w:type="spellEnd"/>
      <w:r>
        <w:t xml:space="preserve"> assume that:</w:t>
      </w:r>
    </w:p>
    <w:p w14:paraId="391D3881" w14:textId="77777777" w:rsidR="000835E2" w:rsidRDefault="000835E2" w:rsidP="000835E2">
      <w:pPr>
        <w:pStyle w:val="ListParagraph"/>
        <w:numPr>
          <w:ilvl w:val="0"/>
          <w:numId w:val="35"/>
        </w:numPr>
      </w:pPr>
      <w:r>
        <w:t xml:space="preserve">The propagation time </w:t>
      </w:r>
      <w:r w:rsidRPr="00EE1790">
        <w:rPr>
          <w:b/>
          <w:bCs/>
        </w:rPr>
        <w:t>t</w:t>
      </w:r>
      <w:r w:rsidRPr="00EE1790">
        <w:rPr>
          <w:b/>
          <w:bCs/>
          <w:vertAlign w:val="subscript"/>
        </w:rPr>
        <w:t>2</w:t>
      </w:r>
      <w:r>
        <w:rPr>
          <w:vertAlign w:val="subscript"/>
        </w:rPr>
        <w:t xml:space="preserve"> </w:t>
      </w:r>
      <w:r>
        <w:t xml:space="preserve">is equivalent to an offset of </w:t>
      </w:r>
      <w:r w:rsidRPr="00EE1790">
        <w:rPr>
          <w:b/>
          <w:bCs/>
        </w:rPr>
        <w:t>x</w:t>
      </w:r>
      <w:r w:rsidRPr="00EE1790">
        <w:rPr>
          <w:b/>
          <w:bCs/>
          <w:vertAlign w:val="subscript"/>
        </w:rPr>
        <w:t>2</w:t>
      </w:r>
      <w:r>
        <w:t xml:space="preserve"> </w:t>
      </w:r>
      <w:proofErr w:type="gramStart"/>
      <w:r>
        <w:t>slots</w:t>
      </w:r>
      <w:proofErr w:type="gramEnd"/>
    </w:p>
    <w:p w14:paraId="310D898D" w14:textId="77777777" w:rsidR="000835E2" w:rsidRDefault="000835E2" w:rsidP="000835E2">
      <w:pPr>
        <w:pStyle w:val="ListParagraph"/>
        <w:numPr>
          <w:ilvl w:val="0"/>
          <w:numId w:val="35"/>
        </w:numPr>
      </w:pPr>
      <w:r>
        <w:t xml:space="preserve">The propagation time </w:t>
      </w:r>
      <w:r w:rsidRPr="00EE1790">
        <w:rPr>
          <w:b/>
          <w:bCs/>
        </w:rPr>
        <w:t>t</w:t>
      </w:r>
      <w:r w:rsidRPr="00EE1790">
        <w:rPr>
          <w:b/>
          <w:bCs/>
          <w:vertAlign w:val="subscript"/>
        </w:rPr>
        <w:t>1</w:t>
      </w:r>
      <w:r>
        <w:t xml:space="preserve"> is equivalent to an offset of </w:t>
      </w:r>
      <w:r w:rsidRPr="00EE1790">
        <w:rPr>
          <w:b/>
          <w:bCs/>
        </w:rPr>
        <w:t>x</w:t>
      </w:r>
      <w:r w:rsidRPr="00EE1790">
        <w:rPr>
          <w:b/>
          <w:bCs/>
          <w:vertAlign w:val="subscript"/>
        </w:rPr>
        <w:t>1</w:t>
      </w:r>
      <w:r>
        <w:t xml:space="preserve"> </w:t>
      </w:r>
      <w:proofErr w:type="gramStart"/>
      <w:r>
        <w:t>slots</w:t>
      </w:r>
      <w:proofErr w:type="gramEnd"/>
    </w:p>
    <w:p w14:paraId="6F62B425" w14:textId="77777777" w:rsidR="000835E2" w:rsidRDefault="000835E2" w:rsidP="000835E2">
      <w:pPr>
        <w:pStyle w:val="ListParagraph"/>
        <w:numPr>
          <w:ilvl w:val="0"/>
          <w:numId w:val="35"/>
        </w:numPr>
      </w:pPr>
      <w:r>
        <w:t xml:space="preserve">The total UL timing advance is then equal to x1+x2 slots. </w:t>
      </w:r>
    </w:p>
    <w:p w14:paraId="38A5EC0C" w14:textId="77777777" w:rsidR="000835E2" w:rsidRDefault="000835E2" w:rsidP="000835E2">
      <w:pPr>
        <w:pStyle w:val="ListParagraph"/>
        <w:numPr>
          <w:ilvl w:val="0"/>
          <w:numId w:val="35"/>
        </w:numPr>
      </w:pPr>
      <w:r>
        <w:t>The DL slot given by DL(</w:t>
      </w:r>
      <w:proofErr w:type="spellStart"/>
      <w:r>
        <w:t>t</w:t>
      </w:r>
      <w:r w:rsidRPr="00706758">
        <w:rPr>
          <w:vertAlign w:val="subscript"/>
        </w:rPr>
        <w:t>switch</w:t>
      </w:r>
      <w:proofErr w:type="spellEnd"/>
      <w:r>
        <w:t xml:space="preserve">) = n. </w:t>
      </w:r>
    </w:p>
    <w:p w14:paraId="505D64E5" w14:textId="77777777" w:rsidR="000835E2" w:rsidRDefault="000835E2" w:rsidP="000835E2"/>
    <w:p w14:paraId="29F48B8C" w14:textId="77777777" w:rsidR="000835E2" w:rsidRDefault="000835E2" w:rsidP="000835E2">
      <w:r>
        <w:t xml:space="preserve">Then,  Figure 2 can be redrawn into Figure 3 at </w:t>
      </w:r>
      <w:proofErr w:type="spellStart"/>
      <w:r>
        <w:t>t</w:t>
      </w:r>
      <w:r w:rsidRPr="002C7A7F">
        <w:rPr>
          <w:vertAlign w:val="subscript"/>
        </w:rPr>
        <w:t>switch</w:t>
      </w:r>
      <w:proofErr w:type="spellEnd"/>
      <w:r>
        <w:t>:</w:t>
      </w:r>
    </w:p>
    <w:p w14:paraId="259A31FC" w14:textId="77777777" w:rsidR="000835E2" w:rsidRDefault="000835E2" w:rsidP="000835E2">
      <w:pPr>
        <w:keepNext/>
      </w:pPr>
      <w:r>
        <w:rPr>
          <w:noProof/>
        </w:rPr>
        <w:drawing>
          <wp:inline distT="0" distB="0" distL="0" distR="0" wp14:anchorId="76E31C77" wp14:editId="01C7EBDC">
            <wp:extent cx="4288832" cy="3164205"/>
            <wp:effectExtent l="0" t="0" r="0" b="0"/>
            <wp:docPr id="2039251459" name="Graphic 203925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bwMode="auto">
                    <a:xfrm>
                      <a:off x="0" y="0"/>
                      <a:ext cx="4288832" cy="3164205"/>
                    </a:xfrm>
                    <a:prstGeom prst="rect">
                      <a:avLst/>
                    </a:prstGeom>
                  </pic:spPr>
                </pic:pic>
              </a:graphicData>
            </a:graphic>
          </wp:inline>
        </w:drawing>
      </w:r>
    </w:p>
    <w:p w14:paraId="277C45E6" w14:textId="77777777" w:rsidR="000835E2" w:rsidRDefault="000835E2" w:rsidP="000835E2">
      <w:pPr>
        <w:pStyle w:val="Caption"/>
        <w:jc w:val="left"/>
      </w:pPr>
      <w:r>
        <w:t xml:space="preserve">Figure </w:t>
      </w:r>
      <w:r w:rsidR="007045FB">
        <w:fldChar w:fldCharType="begin"/>
      </w:r>
      <w:r w:rsidR="007045FB">
        <w:instrText xml:space="preserve"> SEQ Figure \* ARABIC </w:instrText>
      </w:r>
      <w:r w:rsidR="007045FB">
        <w:fldChar w:fldCharType="separate"/>
      </w:r>
      <w:r>
        <w:rPr>
          <w:noProof/>
        </w:rPr>
        <w:t>5</w:t>
      </w:r>
      <w:r w:rsidR="007045FB">
        <w:rPr>
          <w:noProof/>
        </w:rPr>
        <w:fldChar w:fldCharType="end"/>
      </w:r>
      <w:r>
        <w:t>. DL and UL slot numbers at the UE, satellite and gNB when the switch happens.</w:t>
      </w:r>
    </w:p>
    <w:p w14:paraId="6592489E" w14:textId="77777777" w:rsidR="000835E2" w:rsidRDefault="000835E2" w:rsidP="000835E2"/>
    <w:p w14:paraId="37F8BADA" w14:textId="77777777" w:rsidR="000835E2" w:rsidRDefault="000835E2" w:rsidP="000835E2">
      <w:r>
        <w:lastRenderedPageBreak/>
        <w:t xml:space="preserve">Therefore, </w:t>
      </w:r>
    </w:p>
    <w:p w14:paraId="5C2514C9" w14:textId="77777777" w:rsidR="000835E2" w:rsidRDefault="000835E2" w:rsidP="000835E2">
      <w:pPr>
        <w:pStyle w:val="ListParagraph"/>
        <w:numPr>
          <w:ilvl w:val="0"/>
          <w:numId w:val="36"/>
        </w:numPr>
      </w:pPr>
      <w:r>
        <w:t>Any DL slot received by the satellite after slot after n-x1</w:t>
      </w:r>
      <w:r>
        <w:rPr>
          <w:b/>
          <w:bCs/>
          <w:vertAlign w:val="subscript"/>
        </w:rPr>
        <w:t xml:space="preserve"> </w:t>
      </w:r>
      <w:r>
        <w:t xml:space="preserve">cannot be relayed to the UE. </w:t>
      </w:r>
    </w:p>
    <w:p w14:paraId="159B49D3" w14:textId="77777777" w:rsidR="000835E2" w:rsidRDefault="000835E2" w:rsidP="000835E2">
      <w:pPr>
        <w:pStyle w:val="ListParagraph"/>
        <w:numPr>
          <w:ilvl w:val="1"/>
          <w:numId w:val="36"/>
        </w:numPr>
      </w:pPr>
      <w:r>
        <w:t xml:space="preserve">Any DL slot between [n-x2-x1, n-x1] has been already transmitted by the satellite </w:t>
      </w:r>
      <w:r w:rsidRPr="00697C11">
        <w:rPr>
          <w:b/>
          <w:bCs/>
        </w:rPr>
        <w:t>but it is still travelling through the air interface.</w:t>
      </w:r>
      <w:r>
        <w:t xml:space="preserve"> </w:t>
      </w:r>
    </w:p>
    <w:p w14:paraId="016BDF39" w14:textId="77777777" w:rsidR="000835E2" w:rsidRDefault="000835E2" w:rsidP="000835E2">
      <w:pPr>
        <w:pStyle w:val="ListParagraph"/>
        <w:numPr>
          <w:ilvl w:val="0"/>
          <w:numId w:val="36"/>
        </w:numPr>
      </w:pPr>
      <w:r>
        <w:t>Any UL slot received by the satellite after UL slot  n+x2</w:t>
      </w:r>
      <w:r>
        <w:rPr>
          <w:b/>
          <w:bCs/>
        </w:rPr>
        <w:t xml:space="preserve"> </w:t>
      </w:r>
      <w:r w:rsidRPr="00712FAD">
        <w:t xml:space="preserve">cannot be relayed to the </w:t>
      </w:r>
      <w:proofErr w:type="gramStart"/>
      <w:r w:rsidRPr="00712FAD">
        <w:t>gNB</w:t>
      </w:r>
      <w:proofErr w:type="gramEnd"/>
    </w:p>
    <w:p w14:paraId="225F50B2" w14:textId="77777777" w:rsidR="000835E2" w:rsidRDefault="000835E2" w:rsidP="000835E2">
      <w:pPr>
        <w:pStyle w:val="ListParagraph"/>
        <w:numPr>
          <w:ilvl w:val="1"/>
          <w:numId w:val="36"/>
        </w:numPr>
      </w:pPr>
      <w:r>
        <w:t xml:space="preserve">Any UL slot between [n, n+x1] has been already transmitted by the satellite </w:t>
      </w:r>
      <w:r w:rsidRPr="00697C11">
        <w:rPr>
          <w:b/>
          <w:bCs/>
        </w:rPr>
        <w:t>but is still travelling through the air interface.</w:t>
      </w:r>
    </w:p>
    <w:p w14:paraId="3DA77EFA" w14:textId="77777777" w:rsidR="000835E2" w:rsidRDefault="000835E2" w:rsidP="000835E2"/>
    <w:p w14:paraId="5DBF18A5" w14:textId="77777777" w:rsidR="000835E2" w:rsidRDefault="000835E2" w:rsidP="000835E2">
      <w:r>
        <w:t xml:space="preserve">Hence, if we measure the activity in DL and UL of the gNB such that every reachable slot is used at both ends we will have something </w:t>
      </w:r>
      <w:proofErr w:type="gramStart"/>
      <w:r>
        <w:t>similar to</w:t>
      </w:r>
      <w:proofErr w:type="gramEnd"/>
      <w:r>
        <w:t xml:space="preserve"> Figure 4, where greyed slots are “unreachable” slots:</w:t>
      </w:r>
    </w:p>
    <w:p w14:paraId="07214F9B" w14:textId="77777777" w:rsidR="000835E2" w:rsidRDefault="000835E2" w:rsidP="000835E2">
      <w:pPr>
        <w:keepNext/>
      </w:pPr>
      <w:r>
        <w:rPr>
          <w:noProof/>
        </w:rPr>
        <w:drawing>
          <wp:inline distT="0" distB="0" distL="0" distR="0" wp14:anchorId="6DAFF650" wp14:editId="12895F64">
            <wp:extent cx="5968365" cy="3249295"/>
            <wp:effectExtent l="0" t="0" r="0" b="0"/>
            <wp:docPr id="323566650" name="Picture 32356665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566650" name="Picture 323566650"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8365" cy="3249295"/>
                    </a:xfrm>
                    <a:prstGeom prst="rect">
                      <a:avLst/>
                    </a:prstGeom>
                    <a:noFill/>
                  </pic:spPr>
                </pic:pic>
              </a:graphicData>
            </a:graphic>
          </wp:inline>
        </w:drawing>
      </w:r>
    </w:p>
    <w:p w14:paraId="23F7A2BC" w14:textId="77777777" w:rsidR="000835E2" w:rsidRDefault="000835E2" w:rsidP="000835E2">
      <w:pPr>
        <w:pStyle w:val="Caption"/>
        <w:jc w:val="left"/>
      </w:pPr>
      <w:r>
        <w:t xml:space="preserve">Figure </w:t>
      </w:r>
      <w:r w:rsidR="007045FB">
        <w:fldChar w:fldCharType="begin"/>
      </w:r>
      <w:r w:rsidR="007045FB">
        <w:instrText xml:space="preserve"> SEQ Figure \* ARABIC </w:instrText>
      </w:r>
      <w:r w:rsidR="007045FB">
        <w:fldChar w:fldCharType="separate"/>
      </w:r>
      <w:r>
        <w:rPr>
          <w:noProof/>
        </w:rPr>
        <w:t>6</w:t>
      </w:r>
      <w:r w:rsidR="007045FB">
        <w:rPr>
          <w:noProof/>
        </w:rPr>
        <w:fldChar w:fldCharType="end"/>
      </w:r>
      <w:r>
        <w:t>. DL and UL reachable slots by gNB and UE when a hard switch occurs.</w:t>
      </w:r>
    </w:p>
    <w:p w14:paraId="6E2ACD54" w14:textId="77777777" w:rsidR="000835E2" w:rsidRDefault="000835E2" w:rsidP="000835E2"/>
    <w:p w14:paraId="7B13F0D8" w14:textId="77777777" w:rsidR="000835E2" w:rsidRDefault="000835E2" w:rsidP="000835E2">
      <w:r>
        <w:t xml:space="preserve">So, it is clear from Figure 4 that the UE might still receive several DL slots from the source satellite, while it is not capable to transmit in this direction. </w:t>
      </w:r>
    </w:p>
    <w:p w14:paraId="50975040" w14:textId="77777777" w:rsidR="000835E2" w:rsidRPr="00847264" w:rsidRDefault="000835E2" w:rsidP="00EF3DBE">
      <w:pPr>
        <w:pStyle w:val="ListParagraph"/>
        <w:ind w:right="-22"/>
      </w:pPr>
    </w:p>
    <w:sectPr w:rsidR="000835E2"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BA6F3" w14:textId="77777777" w:rsidR="00DF1A07" w:rsidRDefault="00DF1A07" w:rsidP="00001C9B">
      <w:pPr>
        <w:spacing w:after="0" w:line="240" w:lineRule="auto"/>
      </w:pPr>
      <w:r>
        <w:separator/>
      </w:r>
    </w:p>
  </w:endnote>
  <w:endnote w:type="continuationSeparator" w:id="0">
    <w:p w14:paraId="2EC8A118" w14:textId="77777777" w:rsidR="00DF1A07" w:rsidRDefault="00DF1A07" w:rsidP="00001C9B">
      <w:pPr>
        <w:spacing w:after="0" w:line="240" w:lineRule="auto"/>
      </w:pPr>
      <w:r>
        <w:continuationSeparator/>
      </w:r>
    </w:p>
  </w:endnote>
  <w:endnote w:type="continuationNotice" w:id="1">
    <w:p w14:paraId="596E1E00" w14:textId="77777777" w:rsidR="00DF1A07" w:rsidRDefault="00DF1A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A7C31" w14:textId="77777777" w:rsidR="00DF1A07" w:rsidRDefault="00DF1A07" w:rsidP="00001C9B">
      <w:pPr>
        <w:spacing w:after="0" w:line="240" w:lineRule="auto"/>
      </w:pPr>
      <w:r>
        <w:separator/>
      </w:r>
    </w:p>
  </w:footnote>
  <w:footnote w:type="continuationSeparator" w:id="0">
    <w:p w14:paraId="41D59DD3" w14:textId="77777777" w:rsidR="00DF1A07" w:rsidRDefault="00DF1A07" w:rsidP="00001C9B">
      <w:pPr>
        <w:spacing w:after="0" w:line="240" w:lineRule="auto"/>
      </w:pPr>
      <w:r>
        <w:continuationSeparator/>
      </w:r>
    </w:p>
  </w:footnote>
  <w:footnote w:type="continuationNotice" w:id="1">
    <w:p w14:paraId="1EB5598F" w14:textId="77777777" w:rsidR="00DF1A07" w:rsidRDefault="00DF1A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28F"/>
    <w:multiLevelType w:val="hybridMultilevel"/>
    <w:tmpl w:val="6E24C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F7B7F"/>
    <w:multiLevelType w:val="hybridMultilevel"/>
    <w:tmpl w:val="3A1C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FA7732"/>
    <w:multiLevelType w:val="hybridMultilevel"/>
    <w:tmpl w:val="F7BA4D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942677"/>
    <w:multiLevelType w:val="hybridMultilevel"/>
    <w:tmpl w:val="C8D89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F0375A"/>
    <w:multiLevelType w:val="hybridMultilevel"/>
    <w:tmpl w:val="494C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B48F1"/>
    <w:multiLevelType w:val="hybridMultilevel"/>
    <w:tmpl w:val="1748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A52CFF94"/>
    <w:lvl w:ilvl="0" w:tplc="9D2E84D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F44A6"/>
    <w:multiLevelType w:val="hybridMultilevel"/>
    <w:tmpl w:val="A7284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7F2B76"/>
    <w:multiLevelType w:val="hybridMultilevel"/>
    <w:tmpl w:val="C0400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610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1B0F44"/>
    <w:multiLevelType w:val="hybridMultilevel"/>
    <w:tmpl w:val="BCE8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0"/>
  </w:num>
  <w:num w:numId="3" w16cid:durableId="1792749823">
    <w:abstractNumId w:val="15"/>
  </w:num>
  <w:num w:numId="4" w16cid:durableId="517735681">
    <w:abstractNumId w:val="9"/>
  </w:num>
  <w:num w:numId="5" w16cid:durableId="1142041724">
    <w:abstractNumId w:val="21"/>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3"/>
  </w:num>
  <w:num w:numId="16" w16cid:durableId="516113510">
    <w:abstractNumId w:val="7"/>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7"/>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299697709">
    <w:abstractNumId w:val="24"/>
  </w:num>
  <w:num w:numId="28" w16cid:durableId="249850146">
    <w:abstractNumId w:val="20"/>
  </w:num>
  <w:num w:numId="29" w16cid:durableId="455176836">
    <w:abstractNumId w:val="6"/>
  </w:num>
  <w:num w:numId="30" w16cid:durableId="1254826386">
    <w:abstractNumId w:val="3"/>
  </w:num>
  <w:num w:numId="31" w16cid:durableId="1363358496">
    <w:abstractNumId w:val="8"/>
  </w:num>
  <w:num w:numId="32" w16cid:durableId="843668308">
    <w:abstractNumId w:val="22"/>
  </w:num>
  <w:num w:numId="33" w16cid:durableId="56320089">
    <w:abstractNumId w:val="5"/>
  </w:num>
  <w:num w:numId="34" w16cid:durableId="1420441769">
    <w:abstractNumId w:val="18"/>
  </w:num>
  <w:num w:numId="35" w16cid:durableId="799768441">
    <w:abstractNumId w:val="11"/>
  </w:num>
  <w:num w:numId="36" w16cid:durableId="1876773320">
    <w:abstractNumId w:val="16"/>
  </w:num>
  <w:num w:numId="37" w16cid:durableId="1477335682">
    <w:abstractNumId w:val="0"/>
  </w:num>
  <w:num w:numId="38" w16cid:durableId="6530272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430379"/>
    <w:rsid w:val="00001C9B"/>
    <w:rsid w:val="000040DC"/>
    <w:rsid w:val="00004909"/>
    <w:rsid w:val="00011784"/>
    <w:rsid w:val="00011787"/>
    <w:rsid w:val="000151EF"/>
    <w:rsid w:val="000166A6"/>
    <w:rsid w:val="000239F5"/>
    <w:rsid w:val="00023FC3"/>
    <w:rsid w:val="00025125"/>
    <w:rsid w:val="000263EE"/>
    <w:rsid w:val="00030BB1"/>
    <w:rsid w:val="00031914"/>
    <w:rsid w:val="0006042A"/>
    <w:rsid w:val="000654BF"/>
    <w:rsid w:val="00067771"/>
    <w:rsid w:val="00074B93"/>
    <w:rsid w:val="00074D7F"/>
    <w:rsid w:val="0008044D"/>
    <w:rsid w:val="000835E2"/>
    <w:rsid w:val="00083E4F"/>
    <w:rsid w:val="0008612A"/>
    <w:rsid w:val="00090E18"/>
    <w:rsid w:val="000911E0"/>
    <w:rsid w:val="00096128"/>
    <w:rsid w:val="00097CCF"/>
    <w:rsid w:val="000A10BC"/>
    <w:rsid w:val="000A27CD"/>
    <w:rsid w:val="000A2D12"/>
    <w:rsid w:val="000A320A"/>
    <w:rsid w:val="000A62C5"/>
    <w:rsid w:val="000B0056"/>
    <w:rsid w:val="000B6F58"/>
    <w:rsid w:val="000B74C1"/>
    <w:rsid w:val="000C0BED"/>
    <w:rsid w:val="000C232F"/>
    <w:rsid w:val="000C3C7B"/>
    <w:rsid w:val="000C483B"/>
    <w:rsid w:val="000C4CA5"/>
    <w:rsid w:val="000D0F93"/>
    <w:rsid w:val="000D5C64"/>
    <w:rsid w:val="000E3CBE"/>
    <w:rsid w:val="000E7C4E"/>
    <w:rsid w:val="000F363F"/>
    <w:rsid w:val="000F3DD5"/>
    <w:rsid w:val="000F4763"/>
    <w:rsid w:val="00102E29"/>
    <w:rsid w:val="001045EA"/>
    <w:rsid w:val="00106416"/>
    <w:rsid w:val="00110481"/>
    <w:rsid w:val="001127C9"/>
    <w:rsid w:val="00114498"/>
    <w:rsid w:val="00115B88"/>
    <w:rsid w:val="0011709D"/>
    <w:rsid w:val="0012102B"/>
    <w:rsid w:val="0012377B"/>
    <w:rsid w:val="00126ED3"/>
    <w:rsid w:val="00132385"/>
    <w:rsid w:val="00132F6A"/>
    <w:rsid w:val="00133913"/>
    <w:rsid w:val="00135158"/>
    <w:rsid w:val="00140221"/>
    <w:rsid w:val="00155AA8"/>
    <w:rsid w:val="00157478"/>
    <w:rsid w:val="001616F5"/>
    <w:rsid w:val="00161F45"/>
    <w:rsid w:val="001642FC"/>
    <w:rsid w:val="0016496B"/>
    <w:rsid w:val="00164BC0"/>
    <w:rsid w:val="0016759A"/>
    <w:rsid w:val="00167E65"/>
    <w:rsid w:val="001743E2"/>
    <w:rsid w:val="001745F8"/>
    <w:rsid w:val="00176240"/>
    <w:rsid w:val="0017633A"/>
    <w:rsid w:val="001838CF"/>
    <w:rsid w:val="001868EE"/>
    <w:rsid w:val="00190DA8"/>
    <w:rsid w:val="001932B6"/>
    <w:rsid w:val="001A3BA4"/>
    <w:rsid w:val="001A633C"/>
    <w:rsid w:val="001A6D1F"/>
    <w:rsid w:val="001B144A"/>
    <w:rsid w:val="001B18C2"/>
    <w:rsid w:val="001B3262"/>
    <w:rsid w:val="001B4629"/>
    <w:rsid w:val="001D1B50"/>
    <w:rsid w:val="001D3929"/>
    <w:rsid w:val="001D3CA4"/>
    <w:rsid w:val="001D749D"/>
    <w:rsid w:val="001E30F6"/>
    <w:rsid w:val="001E4D71"/>
    <w:rsid w:val="001F78A6"/>
    <w:rsid w:val="00203D02"/>
    <w:rsid w:val="00212A33"/>
    <w:rsid w:val="002168F8"/>
    <w:rsid w:val="00216968"/>
    <w:rsid w:val="00217EE5"/>
    <w:rsid w:val="00227C80"/>
    <w:rsid w:val="002320F5"/>
    <w:rsid w:val="00234CB0"/>
    <w:rsid w:val="0023514D"/>
    <w:rsid w:val="00235F5C"/>
    <w:rsid w:val="00246698"/>
    <w:rsid w:val="002545EC"/>
    <w:rsid w:val="00257FA3"/>
    <w:rsid w:val="00260F97"/>
    <w:rsid w:val="00270A81"/>
    <w:rsid w:val="00270E3A"/>
    <w:rsid w:val="00277B56"/>
    <w:rsid w:val="002839A0"/>
    <w:rsid w:val="0029009C"/>
    <w:rsid w:val="0029025C"/>
    <w:rsid w:val="0029457B"/>
    <w:rsid w:val="002A1499"/>
    <w:rsid w:val="002A19F5"/>
    <w:rsid w:val="002B4922"/>
    <w:rsid w:val="002C22C3"/>
    <w:rsid w:val="002C2D19"/>
    <w:rsid w:val="002C42FF"/>
    <w:rsid w:val="002C7195"/>
    <w:rsid w:val="002C7A7F"/>
    <w:rsid w:val="002D05AE"/>
    <w:rsid w:val="002D10FA"/>
    <w:rsid w:val="002D14C9"/>
    <w:rsid w:val="002D4C55"/>
    <w:rsid w:val="002D7BA0"/>
    <w:rsid w:val="002E6DED"/>
    <w:rsid w:val="002F6D9F"/>
    <w:rsid w:val="00300956"/>
    <w:rsid w:val="0030185F"/>
    <w:rsid w:val="003037A0"/>
    <w:rsid w:val="00305274"/>
    <w:rsid w:val="00305659"/>
    <w:rsid w:val="003116B8"/>
    <w:rsid w:val="00314B0C"/>
    <w:rsid w:val="0031550C"/>
    <w:rsid w:val="0031633A"/>
    <w:rsid w:val="00316CC5"/>
    <w:rsid w:val="00317187"/>
    <w:rsid w:val="0032499A"/>
    <w:rsid w:val="00331FF4"/>
    <w:rsid w:val="003341F7"/>
    <w:rsid w:val="00335835"/>
    <w:rsid w:val="00344C6D"/>
    <w:rsid w:val="00346371"/>
    <w:rsid w:val="00347FEC"/>
    <w:rsid w:val="003509DF"/>
    <w:rsid w:val="003540F5"/>
    <w:rsid w:val="00356688"/>
    <w:rsid w:val="00356F45"/>
    <w:rsid w:val="00357A3E"/>
    <w:rsid w:val="003669F1"/>
    <w:rsid w:val="00366B74"/>
    <w:rsid w:val="0037653F"/>
    <w:rsid w:val="00381849"/>
    <w:rsid w:val="00392A97"/>
    <w:rsid w:val="003973F4"/>
    <w:rsid w:val="00397E0C"/>
    <w:rsid w:val="003A56BB"/>
    <w:rsid w:val="003A5797"/>
    <w:rsid w:val="003A710A"/>
    <w:rsid w:val="003B192F"/>
    <w:rsid w:val="003B1DE1"/>
    <w:rsid w:val="003B659E"/>
    <w:rsid w:val="003C275E"/>
    <w:rsid w:val="003C4FDE"/>
    <w:rsid w:val="003D0731"/>
    <w:rsid w:val="003E4964"/>
    <w:rsid w:val="003E58DF"/>
    <w:rsid w:val="003E64C3"/>
    <w:rsid w:val="003E7124"/>
    <w:rsid w:val="003E7D15"/>
    <w:rsid w:val="003F1601"/>
    <w:rsid w:val="003F6169"/>
    <w:rsid w:val="004038CE"/>
    <w:rsid w:val="00404C4C"/>
    <w:rsid w:val="004077DA"/>
    <w:rsid w:val="004120AF"/>
    <w:rsid w:val="00412D60"/>
    <w:rsid w:val="00412DD1"/>
    <w:rsid w:val="0041341D"/>
    <w:rsid w:val="0041423F"/>
    <w:rsid w:val="00414F81"/>
    <w:rsid w:val="0041548F"/>
    <w:rsid w:val="004203EC"/>
    <w:rsid w:val="00421A2B"/>
    <w:rsid w:val="0042773A"/>
    <w:rsid w:val="00427801"/>
    <w:rsid w:val="00430379"/>
    <w:rsid w:val="00436A0F"/>
    <w:rsid w:val="00437150"/>
    <w:rsid w:val="0043715D"/>
    <w:rsid w:val="0043750A"/>
    <w:rsid w:val="0044000B"/>
    <w:rsid w:val="00442B0A"/>
    <w:rsid w:val="00445EF7"/>
    <w:rsid w:val="00447577"/>
    <w:rsid w:val="00450F3D"/>
    <w:rsid w:val="00452FE1"/>
    <w:rsid w:val="00453035"/>
    <w:rsid w:val="00456B6E"/>
    <w:rsid w:val="004604A8"/>
    <w:rsid w:val="00460B09"/>
    <w:rsid w:val="00463A6E"/>
    <w:rsid w:val="004640A2"/>
    <w:rsid w:val="00471764"/>
    <w:rsid w:val="004732E9"/>
    <w:rsid w:val="00473648"/>
    <w:rsid w:val="004854BB"/>
    <w:rsid w:val="0048773A"/>
    <w:rsid w:val="00494493"/>
    <w:rsid w:val="00496606"/>
    <w:rsid w:val="004A7A14"/>
    <w:rsid w:val="004B236C"/>
    <w:rsid w:val="004B2595"/>
    <w:rsid w:val="004C3271"/>
    <w:rsid w:val="004C4710"/>
    <w:rsid w:val="004E059A"/>
    <w:rsid w:val="004E23AD"/>
    <w:rsid w:val="004E3411"/>
    <w:rsid w:val="004E4349"/>
    <w:rsid w:val="004E5E66"/>
    <w:rsid w:val="004E7ADB"/>
    <w:rsid w:val="004F0B59"/>
    <w:rsid w:val="004F138B"/>
    <w:rsid w:val="004F3940"/>
    <w:rsid w:val="00503B4D"/>
    <w:rsid w:val="00504EE9"/>
    <w:rsid w:val="00505053"/>
    <w:rsid w:val="00510D08"/>
    <w:rsid w:val="00517A71"/>
    <w:rsid w:val="00521576"/>
    <w:rsid w:val="005250E6"/>
    <w:rsid w:val="00525C99"/>
    <w:rsid w:val="00534A35"/>
    <w:rsid w:val="0054146C"/>
    <w:rsid w:val="00541767"/>
    <w:rsid w:val="00542D23"/>
    <w:rsid w:val="0054442C"/>
    <w:rsid w:val="00544531"/>
    <w:rsid w:val="005453A3"/>
    <w:rsid w:val="00550285"/>
    <w:rsid w:val="00556FD4"/>
    <w:rsid w:val="00562492"/>
    <w:rsid w:val="00572A20"/>
    <w:rsid w:val="00581210"/>
    <w:rsid w:val="005836F8"/>
    <w:rsid w:val="005918FA"/>
    <w:rsid w:val="00592A86"/>
    <w:rsid w:val="005B0209"/>
    <w:rsid w:val="005B0604"/>
    <w:rsid w:val="005B1538"/>
    <w:rsid w:val="005B4801"/>
    <w:rsid w:val="005B5D5F"/>
    <w:rsid w:val="005B6889"/>
    <w:rsid w:val="005B6E04"/>
    <w:rsid w:val="005B6F0E"/>
    <w:rsid w:val="005B7455"/>
    <w:rsid w:val="005C2204"/>
    <w:rsid w:val="005C23A4"/>
    <w:rsid w:val="005C412F"/>
    <w:rsid w:val="005C6778"/>
    <w:rsid w:val="005C7B1D"/>
    <w:rsid w:val="005D1CDF"/>
    <w:rsid w:val="005D23E2"/>
    <w:rsid w:val="005D2BB7"/>
    <w:rsid w:val="005D52C2"/>
    <w:rsid w:val="005D534F"/>
    <w:rsid w:val="005E61A8"/>
    <w:rsid w:val="005F6419"/>
    <w:rsid w:val="0060106E"/>
    <w:rsid w:val="00604841"/>
    <w:rsid w:val="00604C92"/>
    <w:rsid w:val="0060543D"/>
    <w:rsid w:val="00606326"/>
    <w:rsid w:val="006104DD"/>
    <w:rsid w:val="0061291C"/>
    <w:rsid w:val="006129C7"/>
    <w:rsid w:val="006130B5"/>
    <w:rsid w:val="006149B9"/>
    <w:rsid w:val="00617400"/>
    <w:rsid w:val="00617B80"/>
    <w:rsid w:val="00631A2B"/>
    <w:rsid w:val="00632D29"/>
    <w:rsid w:val="00634334"/>
    <w:rsid w:val="006425CC"/>
    <w:rsid w:val="00652F00"/>
    <w:rsid w:val="00664950"/>
    <w:rsid w:val="006721FD"/>
    <w:rsid w:val="00675944"/>
    <w:rsid w:val="006804B7"/>
    <w:rsid w:val="00682508"/>
    <w:rsid w:val="00683220"/>
    <w:rsid w:val="00683BFA"/>
    <w:rsid w:val="006868CF"/>
    <w:rsid w:val="00687FA0"/>
    <w:rsid w:val="00695AF3"/>
    <w:rsid w:val="00697C11"/>
    <w:rsid w:val="006A2B96"/>
    <w:rsid w:val="006A3C11"/>
    <w:rsid w:val="006A4CF9"/>
    <w:rsid w:val="006B35B7"/>
    <w:rsid w:val="006B7010"/>
    <w:rsid w:val="006C3095"/>
    <w:rsid w:val="006C3F84"/>
    <w:rsid w:val="006C421C"/>
    <w:rsid w:val="006C4A7A"/>
    <w:rsid w:val="006D4FCD"/>
    <w:rsid w:val="006D7F3A"/>
    <w:rsid w:val="006E1151"/>
    <w:rsid w:val="006E1D00"/>
    <w:rsid w:val="006E2552"/>
    <w:rsid w:val="006E6311"/>
    <w:rsid w:val="006E7656"/>
    <w:rsid w:val="006F5FE6"/>
    <w:rsid w:val="006F6A0E"/>
    <w:rsid w:val="00701BAA"/>
    <w:rsid w:val="007045FB"/>
    <w:rsid w:val="00706758"/>
    <w:rsid w:val="00712E9F"/>
    <w:rsid w:val="00712FAD"/>
    <w:rsid w:val="007145FF"/>
    <w:rsid w:val="00715B2A"/>
    <w:rsid w:val="00722B46"/>
    <w:rsid w:val="00735011"/>
    <w:rsid w:val="00736A63"/>
    <w:rsid w:val="00737942"/>
    <w:rsid w:val="007450F1"/>
    <w:rsid w:val="0074657D"/>
    <w:rsid w:val="00751515"/>
    <w:rsid w:val="00761DD1"/>
    <w:rsid w:val="007626B7"/>
    <w:rsid w:val="00774D9E"/>
    <w:rsid w:val="0078212B"/>
    <w:rsid w:val="00783509"/>
    <w:rsid w:val="00784DF6"/>
    <w:rsid w:val="00784EA4"/>
    <w:rsid w:val="00785232"/>
    <w:rsid w:val="00791C49"/>
    <w:rsid w:val="007946C8"/>
    <w:rsid w:val="007970A1"/>
    <w:rsid w:val="007A5063"/>
    <w:rsid w:val="007A6F98"/>
    <w:rsid w:val="007B186C"/>
    <w:rsid w:val="007B464C"/>
    <w:rsid w:val="007B7C7A"/>
    <w:rsid w:val="007C1696"/>
    <w:rsid w:val="007C3ED0"/>
    <w:rsid w:val="007C5971"/>
    <w:rsid w:val="007D0DD8"/>
    <w:rsid w:val="007D4B7B"/>
    <w:rsid w:val="007E50A6"/>
    <w:rsid w:val="007E7A8B"/>
    <w:rsid w:val="007F54B9"/>
    <w:rsid w:val="007F63A2"/>
    <w:rsid w:val="00806A76"/>
    <w:rsid w:val="00806ADA"/>
    <w:rsid w:val="00810ACE"/>
    <w:rsid w:val="008115F5"/>
    <w:rsid w:val="00811C9D"/>
    <w:rsid w:val="00813DA2"/>
    <w:rsid w:val="00814EA2"/>
    <w:rsid w:val="00816C80"/>
    <w:rsid w:val="0081716F"/>
    <w:rsid w:val="00825C17"/>
    <w:rsid w:val="008351AA"/>
    <w:rsid w:val="00841BCD"/>
    <w:rsid w:val="00845E61"/>
    <w:rsid w:val="00847264"/>
    <w:rsid w:val="00847852"/>
    <w:rsid w:val="00851A8E"/>
    <w:rsid w:val="0085365B"/>
    <w:rsid w:val="00856CB5"/>
    <w:rsid w:val="00860905"/>
    <w:rsid w:val="00860E1F"/>
    <w:rsid w:val="00863CFF"/>
    <w:rsid w:val="00865976"/>
    <w:rsid w:val="008713E8"/>
    <w:rsid w:val="00872593"/>
    <w:rsid w:val="00876D92"/>
    <w:rsid w:val="008821D5"/>
    <w:rsid w:val="008826C1"/>
    <w:rsid w:val="0088328C"/>
    <w:rsid w:val="00883DFD"/>
    <w:rsid w:val="00890335"/>
    <w:rsid w:val="00895D98"/>
    <w:rsid w:val="008A1BF7"/>
    <w:rsid w:val="008A1EAD"/>
    <w:rsid w:val="008A2ED1"/>
    <w:rsid w:val="008A5B0E"/>
    <w:rsid w:val="008A5D0C"/>
    <w:rsid w:val="008B0961"/>
    <w:rsid w:val="008C39F7"/>
    <w:rsid w:val="008C5E71"/>
    <w:rsid w:val="008D4305"/>
    <w:rsid w:val="008D4FB9"/>
    <w:rsid w:val="008E1D12"/>
    <w:rsid w:val="008E4334"/>
    <w:rsid w:val="008E4F8B"/>
    <w:rsid w:val="008F6187"/>
    <w:rsid w:val="0090091A"/>
    <w:rsid w:val="009014CC"/>
    <w:rsid w:val="009042BD"/>
    <w:rsid w:val="00904FE4"/>
    <w:rsid w:val="00906108"/>
    <w:rsid w:val="00912A73"/>
    <w:rsid w:val="0092128F"/>
    <w:rsid w:val="00922D37"/>
    <w:rsid w:val="00923729"/>
    <w:rsid w:val="00936159"/>
    <w:rsid w:val="00950DBF"/>
    <w:rsid w:val="00965400"/>
    <w:rsid w:val="0097462C"/>
    <w:rsid w:val="0097467D"/>
    <w:rsid w:val="0097507F"/>
    <w:rsid w:val="00977E1D"/>
    <w:rsid w:val="0098642A"/>
    <w:rsid w:val="0099201E"/>
    <w:rsid w:val="00993130"/>
    <w:rsid w:val="009A2761"/>
    <w:rsid w:val="009A4B52"/>
    <w:rsid w:val="009B0573"/>
    <w:rsid w:val="009B30FE"/>
    <w:rsid w:val="009B7B4B"/>
    <w:rsid w:val="009B7C21"/>
    <w:rsid w:val="009C2386"/>
    <w:rsid w:val="009C4109"/>
    <w:rsid w:val="009C537A"/>
    <w:rsid w:val="009D1DAE"/>
    <w:rsid w:val="009D5EBC"/>
    <w:rsid w:val="009D6E38"/>
    <w:rsid w:val="009E07D3"/>
    <w:rsid w:val="009E1318"/>
    <w:rsid w:val="009E5234"/>
    <w:rsid w:val="009F4D65"/>
    <w:rsid w:val="00A02715"/>
    <w:rsid w:val="00A0343C"/>
    <w:rsid w:val="00A036CA"/>
    <w:rsid w:val="00A04992"/>
    <w:rsid w:val="00A1157B"/>
    <w:rsid w:val="00A138EE"/>
    <w:rsid w:val="00A13F60"/>
    <w:rsid w:val="00A147AA"/>
    <w:rsid w:val="00A14D53"/>
    <w:rsid w:val="00A17863"/>
    <w:rsid w:val="00A20D36"/>
    <w:rsid w:val="00A21532"/>
    <w:rsid w:val="00A21D71"/>
    <w:rsid w:val="00A22B78"/>
    <w:rsid w:val="00A23673"/>
    <w:rsid w:val="00A25AE5"/>
    <w:rsid w:val="00A25E61"/>
    <w:rsid w:val="00A27A8B"/>
    <w:rsid w:val="00A30A6F"/>
    <w:rsid w:val="00A37002"/>
    <w:rsid w:val="00A418B5"/>
    <w:rsid w:val="00A4355E"/>
    <w:rsid w:val="00A46DD5"/>
    <w:rsid w:val="00A520D9"/>
    <w:rsid w:val="00A547F8"/>
    <w:rsid w:val="00A549C9"/>
    <w:rsid w:val="00A57CFD"/>
    <w:rsid w:val="00A65D9D"/>
    <w:rsid w:val="00A7034F"/>
    <w:rsid w:val="00A70E54"/>
    <w:rsid w:val="00A72CF6"/>
    <w:rsid w:val="00A766E7"/>
    <w:rsid w:val="00A77896"/>
    <w:rsid w:val="00A77938"/>
    <w:rsid w:val="00A87032"/>
    <w:rsid w:val="00A92BCD"/>
    <w:rsid w:val="00A94D78"/>
    <w:rsid w:val="00AA1253"/>
    <w:rsid w:val="00AA1B0E"/>
    <w:rsid w:val="00AA32D5"/>
    <w:rsid w:val="00AA47B6"/>
    <w:rsid w:val="00AA5FBC"/>
    <w:rsid w:val="00AA7666"/>
    <w:rsid w:val="00AB1A5B"/>
    <w:rsid w:val="00AB2603"/>
    <w:rsid w:val="00AB6B74"/>
    <w:rsid w:val="00AC163B"/>
    <w:rsid w:val="00AC27F6"/>
    <w:rsid w:val="00AC5CA7"/>
    <w:rsid w:val="00AC6058"/>
    <w:rsid w:val="00AC6193"/>
    <w:rsid w:val="00AC6C3C"/>
    <w:rsid w:val="00AC6E50"/>
    <w:rsid w:val="00AD12DD"/>
    <w:rsid w:val="00AD1383"/>
    <w:rsid w:val="00AD5256"/>
    <w:rsid w:val="00AE2BA5"/>
    <w:rsid w:val="00AE56B1"/>
    <w:rsid w:val="00AE66BC"/>
    <w:rsid w:val="00AE6D09"/>
    <w:rsid w:val="00AF2231"/>
    <w:rsid w:val="00AF30BE"/>
    <w:rsid w:val="00AF6854"/>
    <w:rsid w:val="00AF7A7C"/>
    <w:rsid w:val="00B02070"/>
    <w:rsid w:val="00B1024D"/>
    <w:rsid w:val="00B11C35"/>
    <w:rsid w:val="00B350B4"/>
    <w:rsid w:val="00B408B6"/>
    <w:rsid w:val="00B4539A"/>
    <w:rsid w:val="00B521A8"/>
    <w:rsid w:val="00B53D52"/>
    <w:rsid w:val="00B542DA"/>
    <w:rsid w:val="00B548BB"/>
    <w:rsid w:val="00B54E52"/>
    <w:rsid w:val="00B637B4"/>
    <w:rsid w:val="00B66FBF"/>
    <w:rsid w:val="00B737B1"/>
    <w:rsid w:val="00B73862"/>
    <w:rsid w:val="00B73F43"/>
    <w:rsid w:val="00B748CD"/>
    <w:rsid w:val="00B75BBF"/>
    <w:rsid w:val="00B866EE"/>
    <w:rsid w:val="00B90C72"/>
    <w:rsid w:val="00BA0665"/>
    <w:rsid w:val="00BA1323"/>
    <w:rsid w:val="00BA642B"/>
    <w:rsid w:val="00BA6B66"/>
    <w:rsid w:val="00BA6E48"/>
    <w:rsid w:val="00BB2021"/>
    <w:rsid w:val="00BB6B46"/>
    <w:rsid w:val="00BC47E7"/>
    <w:rsid w:val="00BD0955"/>
    <w:rsid w:val="00BD72B2"/>
    <w:rsid w:val="00BE0AF6"/>
    <w:rsid w:val="00BE1F03"/>
    <w:rsid w:val="00BE2171"/>
    <w:rsid w:val="00BE58A7"/>
    <w:rsid w:val="00BF2218"/>
    <w:rsid w:val="00BF64DF"/>
    <w:rsid w:val="00BF69F6"/>
    <w:rsid w:val="00C015B6"/>
    <w:rsid w:val="00C01BC2"/>
    <w:rsid w:val="00C03A45"/>
    <w:rsid w:val="00C0426B"/>
    <w:rsid w:val="00C045DF"/>
    <w:rsid w:val="00C1736B"/>
    <w:rsid w:val="00C237EE"/>
    <w:rsid w:val="00C26D43"/>
    <w:rsid w:val="00C3569E"/>
    <w:rsid w:val="00C35AE6"/>
    <w:rsid w:val="00C36D89"/>
    <w:rsid w:val="00C40C83"/>
    <w:rsid w:val="00C455DD"/>
    <w:rsid w:val="00C46548"/>
    <w:rsid w:val="00C47CC1"/>
    <w:rsid w:val="00C50D1F"/>
    <w:rsid w:val="00C574D5"/>
    <w:rsid w:val="00C7128D"/>
    <w:rsid w:val="00C73F32"/>
    <w:rsid w:val="00C74631"/>
    <w:rsid w:val="00C8475C"/>
    <w:rsid w:val="00C86711"/>
    <w:rsid w:val="00C87462"/>
    <w:rsid w:val="00C91873"/>
    <w:rsid w:val="00CA180C"/>
    <w:rsid w:val="00CA1A27"/>
    <w:rsid w:val="00CA3465"/>
    <w:rsid w:val="00CA5C63"/>
    <w:rsid w:val="00CA61C5"/>
    <w:rsid w:val="00CB22B2"/>
    <w:rsid w:val="00CB66B2"/>
    <w:rsid w:val="00CB78E9"/>
    <w:rsid w:val="00CC0233"/>
    <w:rsid w:val="00CC3EE2"/>
    <w:rsid w:val="00CD4749"/>
    <w:rsid w:val="00CD712F"/>
    <w:rsid w:val="00CD7492"/>
    <w:rsid w:val="00CE18B8"/>
    <w:rsid w:val="00CE1BAB"/>
    <w:rsid w:val="00CE3A6B"/>
    <w:rsid w:val="00CE6FF0"/>
    <w:rsid w:val="00CF14EA"/>
    <w:rsid w:val="00CF1D32"/>
    <w:rsid w:val="00CF5001"/>
    <w:rsid w:val="00D00211"/>
    <w:rsid w:val="00D0366D"/>
    <w:rsid w:val="00D04ACA"/>
    <w:rsid w:val="00D06309"/>
    <w:rsid w:val="00D10BCD"/>
    <w:rsid w:val="00D11DA0"/>
    <w:rsid w:val="00D22020"/>
    <w:rsid w:val="00D3154B"/>
    <w:rsid w:val="00D32EFD"/>
    <w:rsid w:val="00D32FF3"/>
    <w:rsid w:val="00D34951"/>
    <w:rsid w:val="00D34DB1"/>
    <w:rsid w:val="00D351EA"/>
    <w:rsid w:val="00D35ADF"/>
    <w:rsid w:val="00D40288"/>
    <w:rsid w:val="00D4169C"/>
    <w:rsid w:val="00D43209"/>
    <w:rsid w:val="00D43403"/>
    <w:rsid w:val="00D43492"/>
    <w:rsid w:val="00D4797E"/>
    <w:rsid w:val="00D516FD"/>
    <w:rsid w:val="00D5270B"/>
    <w:rsid w:val="00D62E71"/>
    <w:rsid w:val="00D6430D"/>
    <w:rsid w:val="00D66188"/>
    <w:rsid w:val="00D7057A"/>
    <w:rsid w:val="00D731F6"/>
    <w:rsid w:val="00D740CA"/>
    <w:rsid w:val="00D7468E"/>
    <w:rsid w:val="00D83FF4"/>
    <w:rsid w:val="00D85728"/>
    <w:rsid w:val="00D87736"/>
    <w:rsid w:val="00D948FB"/>
    <w:rsid w:val="00D94C08"/>
    <w:rsid w:val="00D95481"/>
    <w:rsid w:val="00DA11F8"/>
    <w:rsid w:val="00DA4C6B"/>
    <w:rsid w:val="00DC395E"/>
    <w:rsid w:val="00DC3BA9"/>
    <w:rsid w:val="00DC78B3"/>
    <w:rsid w:val="00DC7A13"/>
    <w:rsid w:val="00DE347C"/>
    <w:rsid w:val="00DF1A07"/>
    <w:rsid w:val="00DF2997"/>
    <w:rsid w:val="00DF541E"/>
    <w:rsid w:val="00DF735E"/>
    <w:rsid w:val="00E003B6"/>
    <w:rsid w:val="00E10BC4"/>
    <w:rsid w:val="00E1415D"/>
    <w:rsid w:val="00E14E4D"/>
    <w:rsid w:val="00E2337C"/>
    <w:rsid w:val="00E312F4"/>
    <w:rsid w:val="00E323E9"/>
    <w:rsid w:val="00E3252A"/>
    <w:rsid w:val="00E34018"/>
    <w:rsid w:val="00E40081"/>
    <w:rsid w:val="00E437D2"/>
    <w:rsid w:val="00E53FA3"/>
    <w:rsid w:val="00E55751"/>
    <w:rsid w:val="00E56024"/>
    <w:rsid w:val="00E56D3C"/>
    <w:rsid w:val="00E57751"/>
    <w:rsid w:val="00E71915"/>
    <w:rsid w:val="00E7201A"/>
    <w:rsid w:val="00E806DF"/>
    <w:rsid w:val="00E83601"/>
    <w:rsid w:val="00E86372"/>
    <w:rsid w:val="00E8781E"/>
    <w:rsid w:val="00E928C2"/>
    <w:rsid w:val="00E95754"/>
    <w:rsid w:val="00E95DC8"/>
    <w:rsid w:val="00EA2311"/>
    <w:rsid w:val="00EA752C"/>
    <w:rsid w:val="00EB747D"/>
    <w:rsid w:val="00EC1C4A"/>
    <w:rsid w:val="00EC34B5"/>
    <w:rsid w:val="00EC5D17"/>
    <w:rsid w:val="00EC7BC3"/>
    <w:rsid w:val="00ED234B"/>
    <w:rsid w:val="00ED7600"/>
    <w:rsid w:val="00EE1790"/>
    <w:rsid w:val="00EE4385"/>
    <w:rsid w:val="00EF3DBE"/>
    <w:rsid w:val="00EF6073"/>
    <w:rsid w:val="00EF698B"/>
    <w:rsid w:val="00EF71F6"/>
    <w:rsid w:val="00F02133"/>
    <w:rsid w:val="00F055BE"/>
    <w:rsid w:val="00F05917"/>
    <w:rsid w:val="00F07CBE"/>
    <w:rsid w:val="00F1362C"/>
    <w:rsid w:val="00F14AA1"/>
    <w:rsid w:val="00F165F7"/>
    <w:rsid w:val="00F1681F"/>
    <w:rsid w:val="00F2579F"/>
    <w:rsid w:val="00F367CA"/>
    <w:rsid w:val="00F40E0D"/>
    <w:rsid w:val="00F414F1"/>
    <w:rsid w:val="00F421DB"/>
    <w:rsid w:val="00F43A89"/>
    <w:rsid w:val="00F508B8"/>
    <w:rsid w:val="00F571A8"/>
    <w:rsid w:val="00F67130"/>
    <w:rsid w:val="00F70C95"/>
    <w:rsid w:val="00F72CB1"/>
    <w:rsid w:val="00F8215E"/>
    <w:rsid w:val="00F824F5"/>
    <w:rsid w:val="00F902F8"/>
    <w:rsid w:val="00F90FAB"/>
    <w:rsid w:val="00F9374D"/>
    <w:rsid w:val="00F94C18"/>
    <w:rsid w:val="00FA3ABF"/>
    <w:rsid w:val="00FA77F9"/>
    <w:rsid w:val="00FB1751"/>
    <w:rsid w:val="00FB46F8"/>
    <w:rsid w:val="00FC1853"/>
    <w:rsid w:val="00FC206E"/>
    <w:rsid w:val="00FC29B9"/>
    <w:rsid w:val="00FC6FD3"/>
    <w:rsid w:val="00FD125D"/>
    <w:rsid w:val="00FD1407"/>
    <w:rsid w:val="00FD3B2A"/>
    <w:rsid w:val="00FE1E3F"/>
    <w:rsid w:val="00FE305C"/>
    <w:rsid w:val="00FE3C53"/>
    <w:rsid w:val="00FF0301"/>
    <w:rsid w:val="00FF0628"/>
    <w:rsid w:val="00FF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8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5E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F3DBE"/>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rlett" w:hAnsi="Marlet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semiHidden/>
    <w:qFormat/>
    <w:locked/>
    <w:rsid w:val="00525C99"/>
    <w:rPr>
      <w:rFonts w:ascii="Arial" w:eastAsia="Times New Roman" w:hAnsi="Arial" w:cs="Times New Roman"/>
      <w:sz w:val="28"/>
      <w:szCs w:val="20"/>
      <w:lang w:val="en-GB" w:eastAsia="en-GB"/>
    </w:rPr>
  </w:style>
  <w:style w:type="character" w:customStyle="1" w:styleId="normaltextrun">
    <w:name w:val="normaltextrun"/>
    <w:basedOn w:val="DefaultParagraphFont"/>
    <w:rsid w:val="007D4B7B"/>
  </w:style>
  <w:style w:type="paragraph" w:styleId="Header">
    <w:name w:val="header"/>
    <w:basedOn w:val="Normal"/>
    <w:link w:val="HeaderChar"/>
    <w:uiPriority w:val="99"/>
    <w:unhideWhenUsed/>
    <w:rsid w:val="00A034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43C"/>
    <w:rPr>
      <w:rFonts w:ascii="Times New Roman" w:hAnsi="Times New Roman"/>
      <w:sz w:val="20"/>
    </w:rPr>
  </w:style>
  <w:style w:type="paragraph" w:styleId="Footer">
    <w:name w:val="footer"/>
    <w:basedOn w:val="Normal"/>
    <w:link w:val="FooterChar"/>
    <w:uiPriority w:val="99"/>
    <w:unhideWhenUsed/>
    <w:rsid w:val="00A034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43C"/>
    <w:rPr>
      <w:rFonts w:ascii="Times New Roman" w:hAnsi="Times New Roman"/>
      <w:sz w:val="20"/>
    </w:rPr>
  </w:style>
  <w:style w:type="paragraph" w:styleId="Revision">
    <w:name w:val="Revision"/>
    <w:hidden/>
    <w:uiPriority w:val="99"/>
    <w:semiHidden/>
    <w:rsid w:val="00B53D5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154762">
      <w:bodyDiv w:val="1"/>
      <w:marLeft w:val="0"/>
      <w:marRight w:val="0"/>
      <w:marTop w:val="0"/>
      <w:marBottom w:val="0"/>
      <w:divBdr>
        <w:top w:val="none" w:sz="0" w:space="0" w:color="auto"/>
        <w:left w:val="none" w:sz="0" w:space="0" w:color="auto"/>
        <w:bottom w:val="none" w:sz="0" w:space="0" w:color="auto"/>
        <w:right w:val="none" w:sz="0" w:space="0" w:color="auto"/>
      </w:divBdr>
    </w:div>
    <w:div w:id="1552228409">
      <w:bodyDiv w:val="1"/>
      <w:marLeft w:val="0"/>
      <w:marRight w:val="0"/>
      <w:marTop w:val="0"/>
      <w:marBottom w:val="0"/>
      <w:divBdr>
        <w:top w:val="none" w:sz="0" w:space="0" w:color="auto"/>
        <w:left w:val="none" w:sz="0" w:space="0" w:color="auto"/>
        <w:bottom w:val="none" w:sz="0" w:space="0" w:color="auto"/>
        <w:right w:val="none" w:sz="0" w:space="0" w:color="auto"/>
      </w:divBdr>
    </w:div>
    <w:div w:id="1883051584">
      <w:bodyDiv w:val="1"/>
      <w:marLeft w:val="0"/>
      <w:marRight w:val="0"/>
      <w:marTop w:val="0"/>
      <w:marBottom w:val="0"/>
      <w:divBdr>
        <w:top w:val="none" w:sz="0" w:space="0" w:color="auto"/>
        <w:left w:val="none" w:sz="0" w:space="0" w:color="auto"/>
        <w:bottom w:val="none" w:sz="0" w:space="0" w:color="auto"/>
        <w:right w:val="none" w:sz="0" w:space="0" w:color="auto"/>
      </w:divBdr>
    </w:div>
    <w:div w:id="2088457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5AIRPNAIUNRU-1328258698-28486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https://nokia.sharepoint.com/sites/c5g/5gradio/_layouts/15/DocIdRedir.aspx?ID=5AIRPNAIUNRU-1328258698-28486</Url>
      <Description>5AIRPNAIUNRU-1328258698-28486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F8C5CD3-8340-44B3-8A47-8E8640AA7FBF}"/>
</file>

<file path=customXml/itemProps3.xml><?xml version="1.0" encoding="utf-8"?>
<ds:datastoreItem xmlns:ds="http://schemas.openxmlformats.org/officeDocument/2006/customXml" ds:itemID="{F792E5EC-39C2-46A5-B7C4-7C8AB6FA004B}"/>
</file>

<file path=customXml/itemProps4.xml><?xml version="1.0" encoding="utf-8"?>
<ds:datastoreItem xmlns:ds="http://schemas.openxmlformats.org/officeDocument/2006/customXml" ds:itemID="{008DE2AA-0940-42AC-8AC9-F16FD7C13705}"/>
</file>

<file path=customXml/itemProps5.xml><?xml version="1.0" encoding="utf-8"?>
<ds:datastoreItem xmlns:ds="http://schemas.openxmlformats.org/officeDocument/2006/customXml" ds:itemID="{3360F21B-772D-43C9-B7DD-2721E0F98107}"/>
</file>

<file path=customXml/itemProps6.xml><?xml version="1.0" encoding="utf-8"?>
<ds:datastoreItem xmlns:ds="http://schemas.openxmlformats.org/officeDocument/2006/customXml" ds:itemID="{D5E5EA9A-B279-45D8-AC0C-89A39F1A5935}"/>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2644</Words>
  <Characters>14282</Characters>
  <Application>Microsoft Office Word</Application>
  <DocSecurity>0</DocSecurity>
  <Lines>176</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16720</CharactersWithSpaces>
  <SharedDoc>false</SharedDoc>
  <HLinks>
    <vt:vector size="48" baseType="variant">
      <vt:variant>
        <vt:i4>1835058</vt:i4>
      </vt:variant>
      <vt:variant>
        <vt:i4>38</vt:i4>
      </vt:variant>
      <vt:variant>
        <vt:i4>0</vt:i4>
      </vt:variant>
      <vt:variant>
        <vt:i4>5</vt:i4>
      </vt:variant>
      <vt:variant>
        <vt:lpwstr/>
      </vt:variant>
      <vt:variant>
        <vt:lpwstr>_Toc142669706</vt:lpwstr>
      </vt:variant>
      <vt:variant>
        <vt:i4>1835058</vt:i4>
      </vt:variant>
      <vt:variant>
        <vt:i4>35</vt:i4>
      </vt:variant>
      <vt:variant>
        <vt:i4>0</vt:i4>
      </vt:variant>
      <vt:variant>
        <vt:i4>5</vt:i4>
      </vt:variant>
      <vt:variant>
        <vt:lpwstr/>
      </vt:variant>
      <vt:variant>
        <vt:lpwstr>_Toc142669705</vt:lpwstr>
      </vt:variant>
      <vt:variant>
        <vt:i4>1835058</vt:i4>
      </vt:variant>
      <vt:variant>
        <vt:i4>32</vt:i4>
      </vt:variant>
      <vt:variant>
        <vt:i4>0</vt:i4>
      </vt:variant>
      <vt:variant>
        <vt:i4>5</vt:i4>
      </vt:variant>
      <vt:variant>
        <vt:lpwstr/>
      </vt:variant>
      <vt:variant>
        <vt:lpwstr>_Toc142669704</vt:lpwstr>
      </vt:variant>
      <vt:variant>
        <vt:i4>1835058</vt:i4>
      </vt:variant>
      <vt:variant>
        <vt:i4>29</vt:i4>
      </vt:variant>
      <vt:variant>
        <vt:i4>0</vt:i4>
      </vt:variant>
      <vt:variant>
        <vt:i4>5</vt:i4>
      </vt:variant>
      <vt:variant>
        <vt:lpwstr/>
      </vt:variant>
      <vt:variant>
        <vt:lpwstr>_Toc142669703</vt:lpwstr>
      </vt:variant>
      <vt:variant>
        <vt:i4>1835058</vt:i4>
      </vt:variant>
      <vt:variant>
        <vt:i4>26</vt:i4>
      </vt:variant>
      <vt:variant>
        <vt:i4>0</vt:i4>
      </vt:variant>
      <vt:variant>
        <vt:i4>5</vt:i4>
      </vt:variant>
      <vt:variant>
        <vt:lpwstr/>
      </vt:variant>
      <vt:variant>
        <vt:lpwstr>_Toc142669702</vt:lpwstr>
      </vt:variant>
      <vt:variant>
        <vt:i4>1835058</vt:i4>
      </vt:variant>
      <vt:variant>
        <vt:i4>23</vt:i4>
      </vt:variant>
      <vt:variant>
        <vt:i4>0</vt:i4>
      </vt:variant>
      <vt:variant>
        <vt:i4>5</vt:i4>
      </vt:variant>
      <vt:variant>
        <vt:lpwstr/>
      </vt:variant>
      <vt:variant>
        <vt:lpwstr>_Toc142669701</vt:lpwstr>
      </vt:variant>
      <vt:variant>
        <vt:i4>1835058</vt:i4>
      </vt:variant>
      <vt:variant>
        <vt:i4>20</vt:i4>
      </vt:variant>
      <vt:variant>
        <vt:i4>0</vt:i4>
      </vt:variant>
      <vt:variant>
        <vt:i4>5</vt:i4>
      </vt:variant>
      <vt:variant>
        <vt:lpwstr/>
      </vt:variant>
      <vt:variant>
        <vt:lpwstr>_Toc142669700</vt:lpwstr>
      </vt:variant>
      <vt:variant>
        <vt:i4>1376307</vt:i4>
      </vt:variant>
      <vt:variant>
        <vt:i4>17</vt:i4>
      </vt:variant>
      <vt:variant>
        <vt:i4>0</vt:i4>
      </vt:variant>
      <vt:variant>
        <vt:i4>5</vt:i4>
      </vt:variant>
      <vt:variant>
        <vt:lpwstr/>
      </vt:variant>
      <vt:variant>
        <vt:lpwstr>_Toc142669699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2023-11-03T19:59:00Z</dcterms:created>
  <dcterms:modified xsi:type="dcterms:W3CDTF">2023-11-03T19:59:00Z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e00192a9-95bf-40f5-9aa3-0158e8158fcb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